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CF6" w:rsidRPr="004E364D" w:rsidRDefault="00F56CF6" w:rsidP="00F56CF6">
      <w:pPr>
        <w:jc w:val="both"/>
        <w:rPr>
          <w:sz w:val="20"/>
          <w:szCs w:val="20"/>
          <w:lang w:val="uk-UA"/>
        </w:rPr>
      </w:pPr>
      <w:r w:rsidRPr="004E364D">
        <w:rPr>
          <w:b/>
          <w:bCs/>
          <w:sz w:val="20"/>
          <w:szCs w:val="20"/>
          <w:lang w:val="uk-UA"/>
        </w:rPr>
        <w:t xml:space="preserve">Акціонерне товариство "Ямпільський приладобудівний завод", </w:t>
      </w:r>
      <w:r w:rsidRPr="004E364D">
        <w:rPr>
          <w:sz w:val="20"/>
          <w:szCs w:val="20"/>
          <w:lang w:val="uk-UA"/>
        </w:rPr>
        <w:t>(далі – Товариство) (місцезнаходження: 24500, Вінницька обл., м. Ямпіль, вул. Замостянська, 83 А) повідомляє про дистанційне проведення річних загальних зборів Товариства (далі - загальні збори): 06 грудня 2022 року дата дистанційного проведення річних загальних зборів Товариства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та доповненнями);</w:t>
      </w:r>
    </w:p>
    <w:p w:rsidR="00F56CF6" w:rsidRPr="004E364D" w:rsidRDefault="00F56CF6" w:rsidP="00F56CF6">
      <w:pPr>
        <w:jc w:val="both"/>
        <w:rPr>
          <w:sz w:val="20"/>
          <w:szCs w:val="20"/>
          <w:lang w:val="uk-UA"/>
        </w:rPr>
      </w:pPr>
      <w:r w:rsidRPr="004E364D">
        <w:rPr>
          <w:sz w:val="20"/>
          <w:szCs w:val="20"/>
          <w:lang w:val="uk-UA"/>
        </w:rPr>
        <w:t>дата складання переліку акціонерів, які мають право на участь у загальних зборах – 30 листопада 2022 року.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999"/>
      </w:tblGrid>
      <w:tr w:rsidR="00F56CF6" w:rsidRPr="004E364D" w:rsidTr="00F56CF6">
        <w:tc>
          <w:tcPr>
            <w:tcW w:w="4599" w:type="dxa"/>
          </w:tcPr>
          <w:p w:rsidR="00F56CF6" w:rsidRPr="004E364D" w:rsidRDefault="00F56CF6" w:rsidP="00636C97">
            <w:pPr>
              <w:tabs>
                <w:tab w:val="left" w:pos="142"/>
                <w:tab w:val="left" w:pos="284"/>
              </w:tabs>
              <w:jc w:val="center"/>
              <w:rPr>
                <w:sz w:val="20"/>
                <w:szCs w:val="20"/>
                <w:lang w:val="uk-UA"/>
              </w:rPr>
            </w:pPr>
            <w:bookmarkStart w:id="0" w:name="_Hlk116462267"/>
            <w:r w:rsidRPr="004E364D">
              <w:rPr>
                <w:sz w:val="20"/>
                <w:szCs w:val="20"/>
                <w:lang w:val="uk-UA"/>
              </w:rPr>
              <w:t>Питання проекту порядку денного:</w:t>
            </w:r>
          </w:p>
        </w:tc>
        <w:tc>
          <w:tcPr>
            <w:tcW w:w="5999" w:type="dxa"/>
          </w:tcPr>
          <w:p w:rsidR="00F56CF6" w:rsidRPr="004E364D" w:rsidRDefault="00F56CF6" w:rsidP="00636C97">
            <w:pPr>
              <w:tabs>
                <w:tab w:val="left" w:pos="142"/>
                <w:tab w:val="left" w:pos="284"/>
              </w:tabs>
              <w:jc w:val="center"/>
              <w:rPr>
                <w:sz w:val="20"/>
                <w:szCs w:val="20"/>
                <w:lang w:val="uk-UA"/>
              </w:rPr>
            </w:pPr>
            <w:r w:rsidRPr="004E364D">
              <w:rPr>
                <w:sz w:val="20"/>
                <w:szCs w:val="20"/>
                <w:lang w:val="uk-UA"/>
              </w:rPr>
              <w:t>Проект рішення:</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sz w:val="20"/>
                <w:szCs w:val="20"/>
                <w:lang w:val="uk-UA"/>
              </w:rPr>
            </w:pPr>
            <w:r w:rsidRPr="004E364D">
              <w:rPr>
                <w:bCs/>
                <w:sz w:val="20"/>
                <w:szCs w:val="20"/>
                <w:lang w:val="uk-UA"/>
              </w:rPr>
              <w:t>Затвердження регламенту проведення річних загальних зборів Товариства.</w:t>
            </w:r>
          </w:p>
        </w:tc>
        <w:tc>
          <w:tcPr>
            <w:tcW w:w="5999" w:type="dxa"/>
          </w:tcPr>
          <w:p w:rsidR="00F56CF6" w:rsidRPr="004E364D" w:rsidRDefault="00F56CF6" w:rsidP="00636C97">
            <w:pPr>
              <w:ind w:left="43"/>
              <w:jc w:val="both"/>
              <w:rPr>
                <w:sz w:val="20"/>
                <w:szCs w:val="20"/>
                <w:lang w:val="uk-UA"/>
              </w:rPr>
            </w:pPr>
            <w:r w:rsidRPr="004E364D">
              <w:rPr>
                <w:sz w:val="20"/>
                <w:szCs w:val="20"/>
                <w:lang w:val="uk-UA"/>
              </w:rPr>
              <w:t xml:space="preserve">Голосування з питань Порядку денного проводиться з використанням бюлетенів для голосування, за принципом "одна голосуюча акція - один голос" (крім кумулятивного голосування). Бюлетені для голосування засвідчуються після їх отримання лічильною комісією шляхом підписання Головою лічильної комісії. У разі визнання лічильною комісією бюлетеня недійсним, на ньому зазначається відповідна підстава визнання його недійсним та засвідчується він шляхом підписання Головою та членами лічильної комісії. Рішення загальних зборів з питань, винесених на голосування, приймаються простою більшістю голосів акціонерів, які зареєструвалися для участі у річних загальних зборах та є власниками голосуючих акцій (по 14, 15 питаннях Порядку денного рішення приймається більш як 50 відсотками голосів акціонерів від їх загальної кількості (ст. 70 Закону України "Про акціонерні товариства"), по 17 питанню порядку денного приймається більш як 95 відсотками голосів акціонерів від їх загальної кількості, які зареєструвалися для участі у загальних зборах (абз. 4 ч. 2 ст. 27 Закону України "Про акціонерні товариства"), по 16, 18 питаннях Порядку денного рішення приймається більш як трьома чвертями голосів акціонерів, які зареєструвалися для участі у загальних зборах та є власниками голосуючих акцій (ст. 42 Закону України "Про акціонерні товариства")). </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Звіт Голови правління про результати фінансово-господарської діяльності Товариства за 2021 рік та визначення основних напрямків діяльності Товариства на 2022 рік, прийняття рішення за наслідками розгляду звіту.</w:t>
            </w:r>
          </w:p>
        </w:tc>
        <w:tc>
          <w:tcPr>
            <w:tcW w:w="5999" w:type="dxa"/>
          </w:tcPr>
          <w:p w:rsidR="00F56CF6" w:rsidRPr="004E364D" w:rsidRDefault="00F56CF6" w:rsidP="00636C97">
            <w:pPr>
              <w:ind w:left="43"/>
              <w:jc w:val="both"/>
              <w:rPr>
                <w:sz w:val="20"/>
                <w:szCs w:val="20"/>
                <w:lang w:val="uk-UA"/>
              </w:rPr>
            </w:pPr>
            <w:r w:rsidRPr="004E364D">
              <w:rPr>
                <w:sz w:val="20"/>
                <w:szCs w:val="20"/>
                <w:lang w:val="uk-UA"/>
              </w:rPr>
              <w:t>Затвердити звіт Голови правління Товариства про результати фінансово-господарської діяльності Товариства за 2021 рік та основні напрямки діяльності Товариства на 2022 рік.</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Звіт Наглядової Ради Товариства за 2021 рік, прийняття рішення за наслідками розгляду звіту.</w:t>
            </w:r>
          </w:p>
        </w:tc>
        <w:tc>
          <w:tcPr>
            <w:tcW w:w="5999" w:type="dxa"/>
          </w:tcPr>
          <w:p w:rsidR="00F56CF6" w:rsidRPr="004E364D" w:rsidRDefault="00F56CF6" w:rsidP="00636C97">
            <w:pPr>
              <w:ind w:left="43"/>
              <w:jc w:val="both"/>
              <w:rPr>
                <w:sz w:val="20"/>
                <w:szCs w:val="20"/>
                <w:lang w:val="uk-UA"/>
              </w:rPr>
            </w:pPr>
            <w:r w:rsidRPr="004E364D">
              <w:rPr>
                <w:sz w:val="20"/>
                <w:szCs w:val="20"/>
                <w:lang w:val="uk-UA"/>
              </w:rPr>
              <w:t>Затвердити звіт Наглядової ради Товариства за 2021 рік.</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Звіт та висновки Ревізійної комісії Товариства за 2021 рік, прийняття рішення за наслідками розгляду звіту.</w:t>
            </w:r>
          </w:p>
        </w:tc>
        <w:tc>
          <w:tcPr>
            <w:tcW w:w="5999" w:type="dxa"/>
          </w:tcPr>
          <w:p w:rsidR="00F56CF6" w:rsidRPr="004E364D" w:rsidRDefault="00F56CF6" w:rsidP="00636C97">
            <w:pPr>
              <w:ind w:left="43"/>
              <w:jc w:val="both"/>
              <w:rPr>
                <w:sz w:val="20"/>
                <w:szCs w:val="20"/>
                <w:lang w:val="uk-UA"/>
              </w:rPr>
            </w:pPr>
            <w:r w:rsidRPr="004E364D">
              <w:rPr>
                <w:sz w:val="20"/>
                <w:szCs w:val="20"/>
                <w:lang w:val="uk-UA"/>
              </w:rPr>
              <w:t>Затвердити Звіт та висновки Ревізійної комісії Товариства за 2021 рік.</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Затвердження річного звіту та балансу Товариства за 2021 рік.</w:t>
            </w:r>
          </w:p>
        </w:tc>
        <w:tc>
          <w:tcPr>
            <w:tcW w:w="5999" w:type="dxa"/>
          </w:tcPr>
          <w:p w:rsidR="00F56CF6" w:rsidRPr="004E364D" w:rsidRDefault="00F56CF6" w:rsidP="00636C97">
            <w:pPr>
              <w:ind w:left="43"/>
              <w:jc w:val="both"/>
              <w:rPr>
                <w:sz w:val="20"/>
                <w:szCs w:val="20"/>
                <w:lang w:val="uk-UA"/>
              </w:rPr>
            </w:pPr>
            <w:r w:rsidRPr="004E364D">
              <w:rPr>
                <w:sz w:val="20"/>
                <w:szCs w:val="20"/>
                <w:lang w:val="uk-UA"/>
              </w:rPr>
              <w:t>Затвердити річний звіт (малого підприємства) Товариства за 2021 рік, а саме: баланс Товариства станом на 31.12.2021р. (Форма №1), звіт про фінансові результати за 2021 рік (Форма №2)</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Затвердження порядку розподілу прибутку (покриття збитків) Товариства за 2021 рік.</w:t>
            </w:r>
          </w:p>
        </w:tc>
        <w:tc>
          <w:tcPr>
            <w:tcW w:w="5999" w:type="dxa"/>
          </w:tcPr>
          <w:p w:rsidR="00F56CF6" w:rsidRPr="004E364D" w:rsidRDefault="00F56CF6" w:rsidP="00636C97">
            <w:pPr>
              <w:jc w:val="both"/>
              <w:rPr>
                <w:bCs/>
                <w:sz w:val="20"/>
                <w:szCs w:val="20"/>
                <w:lang w:val="uk-UA"/>
              </w:rPr>
            </w:pPr>
            <w:r w:rsidRPr="004E364D">
              <w:rPr>
                <w:sz w:val="20"/>
                <w:szCs w:val="20"/>
                <w:lang w:val="uk-UA"/>
              </w:rPr>
              <w:t>Покрити збиток Товариства за рахунок чистого прибутку, який планується отримати за результатами фінансово-господарської діяльності Товариства за 2022 рік.</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Про виплату дивідендів.</w:t>
            </w:r>
          </w:p>
        </w:tc>
        <w:tc>
          <w:tcPr>
            <w:tcW w:w="5999" w:type="dxa"/>
          </w:tcPr>
          <w:p w:rsidR="00F56CF6" w:rsidRPr="004E364D" w:rsidRDefault="00F56CF6" w:rsidP="00636C97">
            <w:pPr>
              <w:jc w:val="both"/>
              <w:rPr>
                <w:sz w:val="20"/>
                <w:szCs w:val="20"/>
                <w:lang w:val="uk-UA"/>
              </w:rPr>
            </w:pPr>
            <w:r w:rsidRPr="004E364D">
              <w:rPr>
                <w:sz w:val="20"/>
                <w:szCs w:val="20"/>
                <w:lang w:val="uk-UA"/>
              </w:rPr>
              <w:t>Дивіденди за результатами фінансово-господарської діяльності Товариства за 2021 рік не виплачувати.</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Припинення повноважень Голови та членів правління Товариства.</w:t>
            </w:r>
          </w:p>
        </w:tc>
        <w:tc>
          <w:tcPr>
            <w:tcW w:w="5999" w:type="dxa"/>
          </w:tcPr>
          <w:p w:rsidR="00F56CF6" w:rsidRPr="004E364D" w:rsidRDefault="00F56CF6" w:rsidP="00636C97">
            <w:pPr>
              <w:autoSpaceDE w:val="0"/>
              <w:autoSpaceDN w:val="0"/>
              <w:adjustRightInd w:val="0"/>
              <w:jc w:val="both"/>
              <w:rPr>
                <w:sz w:val="20"/>
                <w:szCs w:val="20"/>
                <w:lang w:val="uk-UA"/>
              </w:rPr>
            </w:pPr>
            <w:r w:rsidRPr="004E364D">
              <w:rPr>
                <w:sz w:val="20"/>
                <w:szCs w:val="20"/>
                <w:lang w:val="uk-UA"/>
              </w:rPr>
              <w:t>Припинити повноваження членів Правління Товариства у складі:</w:t>
            </w:r>
          </w:p>
          <w:p w:rsidR="00F56CF6" w:rsidRPr="004E364D" w:rsidRDefault="00F56CF6" w:rsidP="00636C97">
            <w:pPr>
              <w:rPr>
                <w:sz w:val="20"/>
                <w:szCs w:val="20"/>
                <w:lang w:val="uk-UA"/>
              </w:rPr>
            </w:pPr>
            <w:r w:rsidRPr="004E364D">
              <w:rPr>
                <w:sz w:val="20"/>
                <w:szCs w:val="20"/>
                <w:lang w:val="uk-UA"/>
              </w:rPr>
              <w:t>Голова правління - Кожухар Валерій Олександрович;</w:t>
            </w:r>
          </w:p>
          <w:p w:rsidR="00F56CF6" w:rsidRPr="004E364D" w:rsidRDefault="00F56CF6" w:rsidP="00636C97">
            <w:pPr>
              <w:rPr>
                <w:sz w:val="20"/>
                <w:szCs w:val="20"/>
                <w:lang w:val="uk-UA"/>
              </w:rPr>
            </w:pPr>
            <w:r w:rsidRPr="004E364D">
              <w:rPr>
                <w:sz w:val="20"/>
                <w:szCs w:val="20"/>
                <w:lang w:val="uk-UA"/>
              </w:rPr>
              <w:t>Члена правління - Брушньовський Вадим Михайлович;</w:t>
            </w:r>
          </w:p>
          <w:p w:rsidR="00F56CF6" w:rsidRPr="004E364D" w:rsidRDefault="00F56CF6" w:rsidP="00636C97">
            <w:pPr>
              <w:rPr>
                <w:sz w:val="20"/>
                <w:szCs w:val="20"/>
                <w:lang w:val="uk-UA"/>
              </w:rPr>
            </w:pPr>
            <w:r w:rsidRPr="004E364D">
              <w:rPr>
                <w:sz w:val="20"/>
                <w:szCs w:val="20"/>
                <w:lang w:val="uk-UA"/>
              </w:rPr>
              <w:t>Члена правління - Гервазюк Денис Анатолійович;</w:t>
            </w:r>
          </w:p>
          <w:p w:rsidR="00F56CF6" w:rsidRPr="004E364D" w:rsidRDefault="00F56CF6" w:rsidP="00636C97">
            <w:pPr>
              <w:rPr>
                <w:sz w:val="20"/>
                <w:szCs w:val="20"/>
                <w:lang w:val="uk-UA"/>
              </w:rPr>
            </w:pPr>
            <w:r w:rsidRPr="004E364D">
              <w:rPr>
                <w:sz w:val="20"/>
                <w:szCs w:val="20"/>
                <w:lang w:val="uk-UA"/>
              </w:rPr>
              <w:t>Члена правління - Каліон Сергій Вікторович;</w:t>
            </w:r>
          </w:p>
          <w:p w:rsidR="00F56CF6" w:rsidRPr="004E364D" w:rsidRDefault="00F56CF6" w:rsidP="00636C97">
            <w:pPr>
              <w:rPr>
                <w:sz w:val="20"/>
                <w:szCs w:val="20"/>
                <w:lang w:val="uk-UA"/>
              </w:rPr>
            </w:pPr>
            <w:r w:rsidRPr="004E364D">
              <w:rPr>
                <w:sz w:val="20"/>
                <w:szCs w:val="20"/>
                <w:lang w:val="uk-UA"/>
              </w:rPr>
              <w:t>Член правління - Лубковський Валерій Володимирович;</w:t>
            </w:r>
          </w:p>
          <w:p w:rsidR="00F56CF6" w:rsidRPr="004E364D" w:rsidRDefault="00F56CF6" w:rsidP="00636C97">
            <w:pPr>
              <w:rPr>
                <w:sz w:val="20"/>
                <w:szCs w:val="20"/>
                <w:lang w:val="uk-UA"/>
              </w:rPr>
            </w:pPr>
            <w:r w:rsidRPr="004E364D">
              <w:rPr>
                <w:sz w:val="20"/>
                <w:szCs w:val="20"/>
                <w:lang w:val="uk-UA"/>
              </w:rPr>
              <w:t>Члена правління - Слободянюк Тамара Петрівна;</w:t>
            </w:r>
          </w:p>
          <w:p w:rsidR="00F56CF6" w:rsidRPr="004E364D" w:rsidRDefault="00F56CF6" w:rsidP="00636C97">
            <w:pPr>
              <w:rPr>
                <w:sz w:val="20"/>
                <w:szCs w:val="20"/>
                <w:lang w:val="uk-UA"/>
              </w:rPr>
            </w:pPr>
            <w:r w:rsidRPr="004E364D">
              <w:rPr>
                <w:sz w:val="20"/>
                <w:szCs w:val="20"/>
                <w:lang w:val="uk-UA"/>
              </w:rPr>
              <w:t>Члена правління - Мадюдя Михайло Михайлович.</w:t>
            </w:r>
          </w:p>
        </w:tc>
      </w:tr>
      <w:tr w:rsidR="00F56CF6" w:rsidRPr="007E19AD" w:rsidTr="00F56CF6">
        <w:trPr>
          <w:trHeight w:val="877"/>
        </w:trPr>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Обрання членів Правління Товариства.</w:t>
            </w:r>
          </w:p>
        </w:tc>
        <w:tc>
          <w:tcPr>
            <w:tcW w:w="5999" w:type="dxa"/>
          </w:tcPr>
          <w:p w:rsidR="00F56CF6" w:rsidRPr="004E364D" w:rsidRDefault="00F56CF6" w:rsidP="00636C97">
            <w:pPr>
              <w:autoSpaceDE w:val="0"/>
              <w:autoSpaceDN w:val="0"/>
              <w:adjustRightInd w:val="0"/>
              <w:jc w:val="both"/>
              <w:rPr>
                <w:sz w:val="20"/>
                <w:szCs w:val="20"/>
                <w:lang w:val="uk-UA"/>
              </w:rPr>
            </w:pPr>
            <w:r w:rsidRPr="004E364D">
              <w:rPr>
                <w:sz w:val="20"/>
                <w:szCs w:val="20"/>
                <w:lang w:val="uk-UA"/>
              </w:rPr>
              <w:t>Обрати Правління Товариства у складі:</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Голова правління - Кожухар Валерій Олександрович;</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 Брушньовський Вадим Михайлович;</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 Гервазюк Денис Анатолійович;</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 Каліон Сергій Вікторович;</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-Лубковський Валерій Володимирович;</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 Слободянюк Тамара Петрівна;</w:t>
            </w:r>
          </w:p>
          <w:p w:rsidR="00F56CF6" w:rsidRPr="004E364D" w:rsidRDefault="00F56CF6" w:rsidP="00636C97">
            <w:pPr>
              <w:tabs>
                <w:tab w:val="left" w:pos="346"/>
              </w:tabs>
              <w:autoSpaceDE w:val="0"/>
              <w:autoSpaceDN w:val="0"/>
              <w:adjustRightInd w:val="0"/>
              <w:jc w:val="both"/>
              <w:rPr>
                <w:sz w:val="20"/>
                <w:szCs w:val="20"/>
                <w:lang w:val="uk-UA"/>
              </w:rPr>
            </w:pPr>
            <w:r w:rsidRPr="004E364D">
              <w:rPr>
                <w:sz w:val="20"/>
                <w:szCs w:val="20"/>
                <w:lang w:val="uk-UA"/>
              </w:rPr>
              <w:t>Члена правління - Мадюдя Михайло Михайлович.</w:t>
            </w:r>
          </w:p>
        </w:tc>
      </w:tr>
      <w:tr w:rsidR="00F56CF6" w:rsidRPr="007E19AD" w:rsidTr="00F56CF6">
        <w:trPr>
          <w:trHeight w:val="877"/>
        </w:trPr>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bookmarkStart w:id="1" w:name="_Hlk113889514"/>
            <w:r w:rsidRPr="004E364D">
              <w:rPr>
                <w:bCs/>
                <w:sz w:val="20"/>
                <w:szCs w:val="20"/>
                <w:lang w:val="uk-UA"/>
              </w:rPr>
              <w:lastRenderedPageBreak/>
              <w:t>Припинення повноважень Ревізійної комісії</w:t>
            </w:r>
          </w:p>
        </w:tc>
        <w:tc>
          <w:tcPr>
            <w:tcW w:w="5999" w:type="dxa"/>
          </w:tcPr>
          <w:p w:rsidR="00F56CF6" w:rsidRPr="004E364D" w:rsidRDefault="00F56CF6" w:rsidP="00636C97">
            <w:pPr>
              <w:rPr>
                <w:sz w:val="20"/>
                <w:szCs w:val="20"/>
                <w:lang w:val="uk-UA"/>
              </w:rPr>
            </w:pPr>
            <w:r w:rsidRPr="004E364D">
              <w:rPr>
                <w:sz w:val="20"/>
                <w:szCs w:val="20"/>
                <w:lang w:val="uk-UA"/>
              </w:rPr>
              <w:t>Припинити повноваження членів Ревізійної комісії у складі:</w:t>
            </w:r>
          </w:p>
          <w:p w:rsidR="00F56CF6" w:rsidRPr="004E364D" w:rsidRDefault="00F56CF6" w:rsidP="00636C97">
            <w:pPr>
              <w:rPr>
                <w:sz w:val="20"/>
                <w:szCs w:val="20"/>
                <w:lang w:val="uk-UA"/>
              </w:rPr>
            </w:pPr>
            <w:r w:rsidRPr="004E364D">
              <w:rPr>
                <w:sz w:val="20"/>
                <w:szCs w:val="20"/>
                <w:lang w:val="uk-UA"/>
              </w:rPr>
              <w:t>Голова Ревізійної комісії–Медвєдєв Михайло Володимирович;</w:t>
            </w:r>
          </w:p>
          <w:p w:rsidR="00F56CF6" w:rsidRPr="004E364D" w:rsidRDefault="00F56CF6" w:rsidP="00636C97">
            <w:pPr>
              <w:rPr>
                <w:sz w:val="20"/>
                <w:szCs w:val="20"/>
                <w:lang w:val="uk-UA"/>
              </w:rPr>
            </w:pPr>
            <w:r w:rsidRPr="004E364D">
              <w:rPr>
                <w:sz w:val="20"/>
                <w:szCs w:val="20"/>
                <w:lang w:val="uk-UA"/>
              </w:rPr>
              <w:t>Член Ревізійної комісії–Шатохіна Галина Спірідонівна;</w:t>
            </w:r>
          </w:p>
          <w:p w:rsidR="00F56CF6" w:rsidRPr="004E364D" w:rsidRDefault="00F56CF6" w:rsidP="00636C97">
            <w:pPr>
              <w:rPr>
                <w:sz w:val="20"/>
                <w:szCs w:val="20"/>
                <w:lang w:val="uk-UA"/>
              </w:rPr>
            </w:pPr>
            <w:r w:rsidRPr="004E364D">
              <w:rPr>
                <w:sz w:val="20"/>
                <w:szCs w:val="20"/>
                <w:lang w:val="uk-UA"/>
              </w:rPr>
              <w:t>Член Ревізійної комісії - Жираєва Людмила Вячеславівна.</w:t>
            </w:r>
          </w:p>
        </w:tc>
      </w:tr>
      <w:bookmarkEnd w:id="1"/>
      <w:tr w:rsidR="00F56CF6" w:rsidRPr="007E19AD" w:rsidTr="00F56CF6">
        <w:trPr>
          <w:trHeight w:val="877"/>
        </w:trPr>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Обрання членів Ревізійної комісії</w:t>
            </w:r>
          </w:p>
        </w:tc>
        <w:tc>
          <w:tcPr>
            <w:tcW w:w="5999" w:type="dxa"/>
          </w:tcPr>
          <w:p w:rsidR="00F56CF6" w:rsidRPr="004E364D" w:rsidRDefault="00F56CF6" w:rsidP="00636C97">
            <w:pPr>
              <w:rPr>
                <w:sz w:val="20"/>
                <w:szCs w:val="20"/>
                <w:lang w:val="uk-UA"/>
              </w:rPr>
            </w:pPr>
            <w:r w:rsidRPr="004E364D">
              <w:rPr>
                <w:sz w:val="20"/>
                <w:szCs w:val="20"/>
                <w:lang w:val="uk-UA"/>
              </w:rPr>
              <w:t>Обрати Ревізійну комісію Товариства у складі:</w:t>
            </w:r>
          </w:p>
          <w:p w:rsidR="00F56CF6" w:rsidRPr="004E364D" w:rsidRDefault="00F56CF6" w:rsidP="00636C97">
            <w:pPr>
              <w:rPr>
                <w:sz w:val="20"/>
                <w:szCs w:val="20"/>
                <w:lang w:val="uk-UA"/>
              </w:rPr>
            </w:pPr>
            <w:r w:rsidRPr="004E364D">
              <w:rPr>
                <w:sz w:val="20"/>
                <w:szCs w:val="20"/>
                <w:lang w:val="uk-UA"/>
              </w:rPr>
              <w:t>Голова Ревізійної комісії - Жираєва Людмила Вячеславівна</w:t>
            </w:r>
          </w:p>
          <w:p w:rsidR="00F56CF6" w:rsidRPr="004E364D" w:rsidRDefault="00F56CF6" w:rsidP="00636C97">
            <w:pPr>
              <w:rPr>
                <w:sz w:val="20"/>
                <w:szCs w:val="20"/>
                <w:lang w:val="uk-UA"/>
              </w:rPr>
            </w:pPr>
            <w:r w:rsidRPr="004E364D">
              <w:rPr>
                <w:sz w:val="20"/>
                <w:szCs w:val="20"/>
                <w:lang w:val="uk-UA"/>
              </w:rPr>
              <w:t>Член Ревізійної комісії Шатохіна Галина Спірідонівна</w:t>
            </w:r>
          </w:p>
        </w:tc>
      </w:tr>
      <w:tr w:rsidR="00F56CF6" w:rsidRPr="007E19AD" w:rsidTr="00F56CF6">
        <w:trPr>
          <w:trHeight w:val="442"/>
        </w:trPr>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Припинення повноважень члена Наглядової ради</w:t>
            </w:r>
          </w:p>
        </w:tc>
        <w:tc>
          <w:tcPr>
            <w:tcW w:w="5999" w:type="dxa"/>
          </w:tcPr>
          <w:p w:rsidR="00F56CF6" w:rsidRPr="004E364D" w:rsidRDefault="00F56CF6" w:rsidP="00636C97">
            <w:pPr>
              <w:autoSpaceDE w:val="0"/>
              <w:autoSpaceDN w:val="0"/>
              <w:adjustRightInd w:val="0"/>
              <w:jc w:val="both"/>
              <w:rPr>
                <w:sz w:val="20"/>
                <w:szCs w:val="20"/>
                <w:lang w:val="uk-UA"/>
              </w:rPr>
            </w:pPr>
            <w:r w:rsidRPr="004E364D">
              <w:rPr>
                <w:sz w:val="20"/>
                <w:szCs w:val="20"/>
                <w:lang w:val="uk-UA"/>
              </w:rPr>
              <w:t>Припинити повноваження члена Наглядової ради Макогона Олексія Михайловича.</w:t>
            </w:r>
          </w:p>
        </w:tc>
      </w:tr>
      <w:tr w:rsidR="00F56CF6" w:rsidRPr="007E19AD" w:rsidTr="00F56CF6">
        <w:trPr>
          <w:trHeight w:val="271"/>
        </w:trPr>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Обрання члена Наглядової ради</w:t>
            </w:r>
          </w:p>
        </w:tc>
        <w:tc>
          <w:tcPr>
            <w:tcW w:w="5999" w:type="dxa"/>
          </w:tcPr>
          <w:p w:rsidR="00F56CF6" w:rsidRPr="004E364D" w:rsidRDefault="00F56CF6" w:rsidP="00636C97">
            <w:pPr>
              <w:autoSpaceDE w:val="0"/>
              <w:autoSpaceDN w:val="0"/>
              <w:adjustRightInd w:val="0"/>
              <w:jc w:val="both"/>
              <w:rPr>
                <w:sz w:val="20"/>
                <w:szCs w:val="20"/>
                <w:lang w:val="uk-UA"/>
              </w:rPr>
            </w:pPr>
            <w:r w:rsidRPr="004E364D">
              <w:rPr>
                <w:sz w:val="20"/>
                <w:szCs w:val="20"/>
                <w:lang w:val="uk-UA"/>
              </w:rPr>
              <w:t>Обрати членом Наглядової ради Кошельову Тетяну Олександрівну</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Схвалення та надання згоди на укладені Товариством значні правочини.</w:t>
            </w:r>
          </w:p>
        </w:tc>
        <w:tc>
          <w:tcPr>
            <w:tcW w:w="5999" w:type="dxa"/>
          </w:tcPr>
          <w:p w:rsidR="00F56CF6" w:rsidRPr="004E364D" w:rsidRDefault="00F56CF6" w:rsidP="00636C97">
            <w:pPr>
              <w:autoSpaceDE w:val="0"/>
              <w:autoSpaceDN w:val="0"/>
              <w:adjustRightInd w:val="0"/>
              <w:jc w:val="both"/>
              <w:rPr>
                <w:sz w:val="20"/>
                <w:szCs w:val="20"/>
                <w:lang w:val="uk-UA"/>
              </w:rPr>
            </w:pPr>
            <w:r w:rsidRPr="004E364D">
              <w:rPr>
                <w:sz w:val="20"/>
                <w:szCs w:val="20"/>
                <w:lang w:val="uk-UA"/>
              </w:rPr>
              <w:t>Схвалити та надати згоду на укладені Товариством значні правочини у період з 23.04.2021 р. по 22.04.2022 р.</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Про попереднє надання згоди на вчинення значних правочинів.</w:t>
            </w:r>
          </w:p>
        </w:tc>
        <w:tc>
          <w:tcPr>
            <w:tcW w:w="5999" w:type="dxa"/>
          </w:tcPr>
          <w:p w:rsidR="00F56CF6" w:rsidRPr="004E364D" w:rsidRDefault="00F56CF6" w:rsidP="00F56CF6">
            <w:pPr>
              <w:numPr>
                <w:ilvl w:val="0"/>
                <w:numId w:val="1"/>
              </w:numPr>
              <w:tabs>
                <w:tab w:val="left" w:pos="298"/>
              </w:tabs>
              <w:suppressAutoHyphens/>
              <w:ind w:left="0" w:firstLine="0"/>
              <w:jc w:val="both"/>
              <w:rPr>
                <w:sz w:val="20"/>
                <w:szCs w:val="20"/>
                <w:lang w:val="uk-UA"/>
              </w:rPr>
            </w:pPr>
            <w:r w:rsidRPr="004E364D">
              <w:rPr>
                <w:sz w:val="20"/>
                <w:szCs w:val="20"/>
                <w:lang w:val="uk-UA"/>
              </w:rPr>
              <w:t>Попередньо надати згоду Товариству на укладення значних правочинів (кредитних угод, договорів застави/іпотеки, поставки, комісії, безвідсоткової поворотної фінансової допомоги, купівлі-продажу, оренди, поруки, зберігання тощо та відповідних додаткових угод до таких договорів), які будуть укладені Товариством протягом року з моменту проведення цих річних загальних зборів Товариства, на суму не більше як 50,0 % вартості активів за даними річної звітності за 2021 рік за умови надання попередньої згоди на їх укладення Наглядовою Радою Товариства.</w:t>
            </w:r>
          </w:p>
          <w:p w:rsidR="00F56CF6" w:rsidRPr="004E364D" w:rsidRDefault="00F56CF6" w:rsidP="00F56CF6">
            <w:pPr>
              <w:numPr>
                <w:ilvl w:val="0"/>
                <w:numId w:val="1"/>
              </w:numPr>
              <w:tabs>
                <w:tab w:val="left" w:pos="298"/>
              </w:tabs>
              <w:suppressAutoHyphens/>
              <w:ind w:left="0" w:firstLine="0"/>
              <w:jc w:val="both"/>
              <w:rPr>
                <w:i/>
                <w:sz w:val="20"/>
                <w:szCs w:val="20"/>
                <w:lang w:val="uk-UA" w:eastAsia="ru-RU"/>
              </w:rPr>
            </w:pPr>
            <w:r w:rsidRPr="004E364D">
              <w:rPr>
                <w:sz w:val="20"/>
                <w:szCs w:val="20"/>
                <w:lang w:val="uk-UA"/>
              </w:rPr>
              <w:t>Уповноважити на підписання значних правочинів від імені Товариства Голову правління Товариства або уповноважену особу, що діє на підставі нотаріально посвідченої довіреності та визначена рішенням Наглядової Ради Товариства щодо надання попередньої згоди на укладення відповідних договорів.</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Про збільшення статутного капіталу Товариства шляхом розміщення додаткових акцій існуючої номінальної вартості за рахунок додаткових внесків.</w:t>
            </w:r>
          </w:p>
        </w:tc>
        <w:tc>
          <w:tcPr>
            <w:tcW w:w="5999" w:type="dxa"/>
          </w:tcPr>
          <w:p w:rsidR="00F56CF6" w:rsidRPr="004E364D" w:rsidRDefault="00F56CF6" w:rsidP="00636C97">
            <w:pPr>
              <w:jc w:val="both"/>
              <w:rPr>
                <w:sz w:val="20"/>
                <w:szCs w:val="20"/>
                <w:lang w:val="uk-UA"/>
              </w:rPr>
            </w:pPr>
            <w:r w:rsidRPr="004E364D">
              <w:rPr>
                <w:sz w:val="20"/>
                <w:szCs w:val="20"/>
                <w:lang w:val="uk-UA"/>
              </w:rPr>
              <w:t>Для залучення додаткових коштів на оновлення основних фондів пропонується збільшити розмір статутного капіталу на 8 375 000,00 (вісім мільйонів триста сімдесят п’ять тисяч гривень 00 копійок) грн. за рахунок додаткових внесків акціонерів шляхом розміщення додаткових простих іменних акцій у кількості 33 500 000 (тридцять три мільйони п’ятсот тисяч) штук існуючої номінальної вартості – 0,25 (нуль гривень двадцять п’ять копійок) грн. кожна, загальною номінальною вартістю 8 375 000,00 (вісім мільйонів триста сімдесят п’ять тисяч гривень 00 копійок) грн. Форма існування акцій – бездокументарна. Джерелом збільшення статутного капіталу мають бути додаткові внески акціонерів у вигляді грошових коштів у національній валюті України – гривні.</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Прийняття рішення про невикористання переважного права акціонерів на придбання акцій додаткової емісії у процесі їх розміщення.</w:t>
            </w:r>
          </w:p>
        </w:tc>
        <w:tc>
          <w:tcPr>
            <w:tcW w:w="5999" w:type="dxa"/>
          </w:tcPr>
          <w:p w:rsidR="00F56CF6" w:rsidRPr="004E364D" w:rsidRDefault="00F56CF6" w:rsidP="00636C97">
            <w:pPr>
              <w:jc w:val="both"/>
              <w:rPr>
                <w:sz w:val="20"/>
                <w:szCs w:val="20"/>
                <w:lang w:val="uk-UA"/>
              </w:rPr>
            </w:pPr>
            <w:r w:rsidRPr="004E364D">
              <w:rPr>
                <w:sz w:val="20"/>
                <w:szCs w:val="20"/>
                <w:lang w:val="uk-UA"/>
              </w:rPr>
              <w:t>За результатами розгляду звіту Наглядової Ради Товариства щодо причин невикористання акціонерами переважного права на придбання акцій додаткової емісії у процесі їх розміщення, прийняти рішення про невикористання акціонерами переважного права на придбання акцій додаткової емісії у процесі їх розміщення.</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Про емісію акцій (із зазначенням учасників розміщення) та затвердження Рішення про емісію акцій (без здійснення публічної пропозиції).</w:t>
            </w:r>
          </w:p>
        </w:tc>
        <w:tc>
          <w:tcPr>
            <w:tcW w:w="5999" w:type="dxa"/>
          </w:tcPr>
          <w:p w:rsidR="00F56CF6" w:rsidRPr="004E364D" w:rsidRDefault="00F56CF6" w:rsidP="00F56CF6">
            <w:pPr>
              <w:widowControl w:val="0"/>
              <w:numPr>
                <w:ilvl w:val="0"/>
                <w:numId w:val="3"/>
              </w:numPr>
              <w:shd w:val="clear" w:color="auto" w:fill="FFFFFF"/>
              <w:tabs>
                <w:tab w:val="left" w:pos="360"/>
              </w:tabs>
              <w:autoSpaceDE w:val="0"/>
              <w:autoSpaceDN w:val="0"/>
              <w:adjustRightInd w:val="0"/>
              <w:ind w:left="0" w:firstLine="0"/>
              <w:jc w:val="both"/>
              <w:rPr>
                <w:spacing w:val="-1"/>
                <w:sz w:val="20"/>
                <w:szCs w:val="20"/>
                <w:lang w:val="uk-UA"/>
              </w:rPr>
            </w:pPr>
            <w:r w:rsidRPr="004E364D">
              <w:rPr>
                <w:sz w:val="20"/>
                <w:szCs w:val="20"/>
                <w:lang w:val="uk-UA"/>
              </w:rPr>
              <w:t>Прийняти рішення про емісію акцій Товариства</w:t>
            </w:r>
            <w:r w:rsidRPr="004E364D">
              <w:rPr>
                <w:spacing w:val="-1"/>
                <w:sz w:val="20"/>
                <w:szCs w:val="20"/>
                <w:lang w:val="uk-UA"/>
              </w:rPr>
              <w:t>.</w:t>
            </w:r>
          </w:p>
          <w:p w:rsidR="00F56CF6" w:rsidRPr="004E364D" w:rsidRDefault="00F56CF6" w:rsidP="00F56CF6">
            <w:pPr>
              <w:widowControl w:val="0"/>
              <w:numPr>
                <w:ilvl w:val="0"/>
                <w:numId w:val="3"/>
              </w:numPr>
              <w:shd w:val="clear" w:color="auto" w:fill="FFFFFF"/>
              <w:tabs>
                <w:tab w:val="left" w:pos="360"/>
              </w:tabs>
              <w:autoSpaceDE w:val="0"/>
              <w:autoSpaceDN w:val="0"/>
              <w:adjustRightInd w:val="0"/>
              <w:ind w:left="0" w:firstLine="0"/>
              <w:jc w:val="both"/>
              <w:rPr>
                <w:spacing w:val="-1"/>
                <w:sz w:val="20"/>
                <w:szCs w:val="20"/>
                <w:lang w:val="uk-UA"/>
              </w:rPr>
            </w:pPr>
            <w:r w:rsidRPr="004E364D">
              <w:rPr>
                <w:spacing w:val="-1"/>
                <w:sz w:val="20"/>
                <w:szCs w:val="20"/>
                <w:lang w:val="uk-UA"/>
              </w:rPr>
              <w:t>Додаткова емісія акцій не піде на покриття збитків, пов’язаних із господарською діяльністю Товариства.</w:t>
            </w:r>
          </w:p>
          <w:p w:rsidR="00F56CF6" w:rsidRPr="004E364D" w:rsidRDefault="00F56CF6" w:rsidP="00F56CF6">
            <w:pPr>
              <w:widowControl w:val="0"/>
              <w:numPr>
                <w:ilvl w:val="0"/>
                <w:numId w:val="3"/>
              </w:numPr>
              <w:shd w:val="clear" w:color="auto" w:fill="FFFFFF"/>
              <w:tabs>
                <w:tab w:val="left" w:pos="360"/>
              </w:tabs>
              <w:autoSpaceDE w:val="0"/>
              <w:autoSpaceDN w:val="0"/>
              <w:adjustRightInd w:val="0"/>
              <w:ind w:left="0" w:firstLine="0"/>
              <w:jc w:val="both"/>
              <w:rPr>
                <w:sz w:val="20"/>
                <w:szCs w:val="20"/>
                <w:lang w:val="uk-UA"/>
              </w:rPr>
            </w:pPr>
            <w:r w:rsidRPr="004E364D">
              <w:rPr>
                <w:spacing w:val="-1"/>
                <w:sz w:val="20"/>
                <w:szCs w:val="20"/>
                <w:lang w:val="uk-UA"/>
              </w:rPr>
              <w:t xml:space="preserve">Затвердити Рішення про емісію акцій </w:t>
            </w:r>
            <w:r w:rsidRPr="004E364D">
              <w:rPr>
                <w:sz w:val="20"/>
                <w:szCs w:val="20"/>
                <w:lang w:val="uk-UA"/>
              </w:rPr>
              <w:t xml:space="preserve">(без здійснення публічної пропозиції) із зазначенням переліку осіб, які є учасниками розміщення, яке оформити та викласти в окремому додатку до </w:t>
            </w:r>
            <w:r w:rsidRPr="004E364D">
              <w:rPr>
                <w:spacing w:val="-1"/>
                <w:sz w:val="20"/>
                <w:szCs w:val="20"/>
                <w:lang w:val="uk-UA"/>
              </w:rPr>
              <w:t xml:space="preserve">Протоколу річних </w:t>
            </w:r>
            <w:r w:rsidRPr="004E364D">
              <w:rPr>
                <w:sz w:val="20"/>
                <w:szCs w:val="20"/>
                <w:lang w:val="uk-UA"/>
              </w:rPr>
              <w:t>загальних зборів Товариства (Додаток</w:t>
            </w:r>
            <w:r w:rsidRPr="004E364D">
              <w:rPr>
                <w:spacing w:val="-1"/>
                <w:sz w:val="20"/>
                <w:szCs w:val="20"/>
                <w:lang w:val="uk-UA"/>
              </w:rPr>
              <w:t xml:space="preserve"> № 1 до Протоколу річних </w:t>
            </w:r>
            <w:r w:rsidRPr="004E364D">
              <w:rPr>
                <w:sz w:val="20"/>
                <w:szCs w:val="20"/>
                <w:lang w:val="uk-UA"/>
              </w:rPr>
              <w:t>загальних зборів Товариства).</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t>Про визначення уповноваженого органу Товариства, якому надаються повноваження щодо вчинення певних дій та прийняття рішень, передбачених чинним законодавством України, під час здійснення емісії акцій.</w:t>
            </w:r>
          </w:p>
        </w:tc>
        <w:tc>
          <w:tcPr>
            <w:tcW w:w="5999" w:type="dxa"/>
          </w:tcPr>
          <w:p w:rsidR="00F56CF6" w:rsidRPr="004E364D" w:rsidRDefault="00F56CF6" w:rsidP="00636C97">
            <w:pPr>
              <w:jc w:val="both"/>
              <w:rPr>
                <w:sz w:val="20"/>
                <w:szCs w:val="20"/>
                <w:lang w:val="uk-UA"/>
              </w:rPr>
            </w:pPr>
            <w:r w:rsidRPr="004E364D">
              <w:rPr>
                <w:sz w:val="20"/>
                <w:szCs w:val="20"/>
                <w:lang w:val="uk-UA"/>
              </w:rPr>
              <w:t>Визначити уповноваженим органом Наглядову раду Товариства та надати їй наступні повноваження щодо:</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визначення (затвердження) ціни розміщення акцій під час розміщення акцій у процесі емісії;</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затвердження результатів емісії акцій;</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затвердження звіту про результати емісії акцій;</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прийняття рішення про відмову від емісії акцій;</w:t>
            </w:r>
          </w:p>
          <w:p w:rsidR="00F56CF6" w:rsidRPr="004E364D" w:rsidRDefault="00F56CF6" w:rsidP="00F56CF6">
            <w:pPr>
              <w:numPr>
                <w:ilvl w:val="0"/>
                <w:numId w:val="4"/>
              </w:numPr>
              <w:tabs>
                <w:tab w:val="clear" w:pos="-360"/>
                <w:tab w:val="num" w:pos="360"/>
              </w:tabs>
              <w:ind w:left="0" w:firstLine="0"/>
              <w:jc w:val="both"/>
              <w:rPr>
                <w:sz w:val="20"/>
                <w:szCs w:val="20"/>
                <w:lang w:val="uk-UA"/>
              </w:rPr>
            </w:pPr>
            <w:r w:rsidRPr="004E364D">
              <w:rPr>
                <w:sz w:val="20"/>
                <w:szCs w:val="20"/>
                <w:lang w:val="uk-UA"/>
              </w:rPr>
              <w:t xml:space="preserve">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або невнесення в </w:t>
            </w:r>
            <w:r w:rsidRPr="004E364D">
              <w:rPr>
                <w:sz w:val="20"/>
                <w:szCs w:val="20"/>
                <w:lang w:val="uk-UA"/>
              </w:rPr>
              <w:lastRenderedPageBreak/>
              <w:t>установлені законодавством строки змін до статуту, або у разі прийняття рішення про відмову від емісії акцій.</w:t>
            </w:r>
          </w:p>
        </w:tc>
      </w:tr>
      <w:tr w:rsidR="00F56CF6" w:rsidRPr="007E19AD" w:rsidTr="00F56CF6">
        <w:tc>
          <w:tcPr>
            <w:tcW w:w="4599" w:type="dxa"/>
          </w:tcPr>
          <w:p w:rsidR="00F56CF6" w:rsidRPr="004E364D" w:rsidRDefault="00F56CF6" w:rsidP="00F56CF6">
            <w:pPr>
              <w:numPr>
                <w:ilvl w:val="0"/>
                <w:numId w:val="2"/>
              </w:numPr>
              <w:tabs>
                <w:tab w:val="left" w:pos="284"/>
              </w:tabs>
              <w:suppressAutoHyphens/>
              <w:ind w:left="284" w:hanging="284"/>
              <w:jc w:val="both"/>
              <w:rPr>
                <w:bCs/>
                <w:sz w:val="20"/>
                <w:szCs w:val="20"/>
                <w:lang w:val="uk-UA"/>
              </w:rPr>
            </w:pPr>
            <w:r w:rsidRPr="004E364D">
              <w:rPr>
                <w:bCs/>
                <w:sz w:val="20"/>
                <w:szCs w:val="20"/>
                <w:lang w:val="uk-UA"/>
              </w:rPr>
              <w:lastRenderedPageBreak/>
              <w:t>Про визначення уповноважених осіб Товариства, яким надаються повноваження щодо вчинення певних дій та прийняття рішень, передбачених чинним законодавством України, під час здійснення емісії акцій.</w:t>
            </w:r>
          </w:p>
        </w:tc>
        <w:tc>
          <w:tcPr>
            <w:tcW w:w="5999" w:type="dxa"/>
          </w:tcPr>
          <w:p w:rsidR="00F56CF6" w:rsidRPr="004E364D" w:rsidRDefault="00F56CF6" w:rsidP="00636C97">
            <w:pPr>
              <w:widowControl w:val="0"/>
              <w:shd w:val="clear" w:color="auto" w:fill="FFFFFF"/>
              <w:autoSpaceDE w:val="0"/>
              <w:autoSpaceDN w:val="0"/>
              <w:adjustRightInd w:val="0"/>
              <w:ind w:left="14"/>
              <w:jc w:val="both"/>
              <w:rPr>
                <w:sz w:val="20"/>
                <w:szCs w:val="20"/>
                <w:lang w:val="uk-UA"/>
              </w:rPr>
            </w:pPr>
            <w:r w:rsidRPr="004E364D">
              <w:rPr>
                <w:sz w:val="20"/>
                <w:szCs w:val="20"/>
                <w:lang w:val="uk-UA"/>
              </w:rPr>
              <w:t>Визначити уповноваженою особою Товариства Голову правління Товариства та надати йому наступні повноваження:</w:t>
            </w:r>
          </w:p>
          <w:p w:rsidR="00F56CF6" w:rsidRPr="004E364D" w:rsidRDefault="00F56CF6" w:rsidP="00F56CF6">
            <w:pPr>
              <w:widowControl w:val="0"/>
              <w:numPr>
                <w:ilvl w:val="0"/>
                <w:numId w:val="5"/>
              </w:numPr>
              <w:shd w:val="clear" w:color="auto" w:fill="FFFFFF"/>
              <w:tabs>
                <w:tab w:val="clear" w:pos="-360"/>
                <w:tab w:val="left" w:pos="360"/>
              </w:tabs>
              <w:autoSpaceDE w:val="0"/>
              <w:autoSpaceDN w:val="0"/>
              <w:adjustRightInd w:val="0"/>
              <w:ind w:left="0" w:firstLine="0"/>
              <w:jc w:val="both"/>
              <w:rPr>
                <w:sz w:val="20"/>
                <w:szCs w:val="20"/>
                <w:lang w:val="uk-UA"/>
              </w:rPr>
            </w:pPr>
            <w:r w:rsidRPr="004E364D">
              <w:rPr>
                <w:sz w:val="20"/>
                <w:szCs w:val="20"/>
                <w:lang w:val="uk-UA"/>
              </w:rPr>
              <w:t>проводити дії щодо забезпечення розміщення акцій;</w:t>
            </w:r>
          </w:p>
          <w:p w:rsidR="00F56CF6" w:rsidRPr="004E364D" w:rsidRDefault="00F56CF6" w:rsidP="00F56CF6">
            <w:pPr>
              <w:widowControl w:val="0"/>
              <w:numPr>
                <w:ilvl w:val="0"/>
                <w:numId w:val="5"/>
              </w:numPr>
              <w:shd w:val="clear" w:color="auto" w:fill="FFFFFF"/>
              <w:tabs>
                <w:tab w:val="clear" w:pos="-360"/>
                <w:tab w:val="left" w:pos="360"/>
              </w:tabs>
              <w:autoSpaceDE w:val="0"/>
              <w:autoSpaceDN w:val="0"/>
              <w:adjustRightInd w:val="0"/>
              <w:ind w:left="0" w:firstLine="0"/>
              <w:jc w:val="both"/>
              <w:rPr>
                <w:spacing w:val="1"/>
                <w:sz w:val="20"/>
                <w:szCs w:val="20"/>
                <w:lang w:val="uk-UA"/>
              </w:rPr>
            </w:pPr>
            <w:r w:rsidRPr="004E364D">
              <w:rPr>
                <w:sz w:val="20"/>
                <w:szCs w:val="20"/>
                <w:lang w:val="uk-UA"/>
              </w:rPr>
              <w:t>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tc>
      </w:tr>
      <w:bookmarkEnd w:id="0"/>
    </w:tbl>
    <w:p w:rsidR="00F56CF6" w:rsidRPr="004E364D" w:rsidRDefault="00F56CF6" w:rsidP="00F56CF6">
      <w:pPr>
        <w:shd w:val="clear" w:color="auto" w:fill="FFFFFF"/>
        <w:ind w:left="5" w:firstLine="710"/>
        <w:jc w:val="both"/>
        <w:rPr>
          <w:sz w:val="20"/>
          <w:szCs w:val="20"/>
          <w:lang w:val="uk-UA"/>
        </w:rPr>
      </w:pPr>
    </w:p>
    <w:p w:rsidR="00F56CF6" w:rsidRPr="004E364D" w:rsidRDefault="00F56CF6" w:rsidP="00F56CF6">
      <w:pPr>
        <w:ind w:firstLine="284"/>
        <w:jc w:val="both"/>
        <w:rPr>
          <w:sz w:val="20"/>
          <w:szCs w:val="20"/>
          <w:lang w:val="uk-UA"/>
        </w:rPr>
      </w:pPr>
      <w:r w:rsidRPr="004E364D">
        <w:rPr>
          <w:sz w:val="20"/>
          <w:szCs w:val="20"/>
          <w:lang w:val="uk-UA"/>
        </w:rPr>
        <w:t xml:space="preserve">З матеріалами щодо підготовки та проведення загальних зборів та документами, необхідними для прийняття рішень з питань порядку денного, акціонери можуть ознайомитися за адресою: 24500, Вінницька обл., м. Ямпіль, вул. Замостянська, 83 А, </w:t>
      </w:r>
      <w:proofErr w:type="spellStart"/>
      <w:r w:rsidRPr="004E364D">
        <w:rPr>
          <w:sz w:val="20"/>
          <w:szCs w:val="20"/>
          <w:lang w:val="uk-UA"/>
        </w:rPr>
        <w:t>каб</w:t>
      </w:r>
      <w:proofErr w:type="spellEnd"/>
      <w:r w:rsidRPr="004E364D">
        <w:rPr>
          <w:sz w:val="20"/>
          <w:szCs w:val="20"/>
          <w:lang w:val="uk-UA"/>
        </w:rPr>
        <w:t xml:space="preserve">. начальника ВПіЗП з понеділка по п’ятницю з 10-00 до 13-00 години за попереднім записом по тел.: /04336/ 2-24-31. або шляхом надсилання запиту на адресу електронної пошти: </w:t>
      </w:r>
      <w:r w:rsidRPr="004E364D">
        <w:rPr>
          <w:i/>
          <w:sz w:val="20"/>
          <w:szCs w:val="20"/>
          <w:lang w:val="uk-UA"/>
        </w:rPr>
        <w:t>zbory.at.yapz@gmail.com</w:t>
      </w:r>
      <w:r w:rsidRPr="004E364D">
        <w:rPr>
          <w:sz w:val="20"/>
          <w:szCs w:val="20"/>
          <w:lang w:val="uk-UA"/>
        </w:rPr>
        <w:t>. Відповідальна особа за ознайомлення акціонерів з матеріалами щодо підготовки та проведення загальних зборів Гервазюк Денис Анатолійович, начальник ВПЗП.</w:t>
      </w:r>
    </w:p>
    <w:p w:rsidR="00F56CF6" w:rsidRPr="004E364D" w:rsidRDefault="00F56CF6" w:rsidP="00F56CF6">
      <w:pPr>
        <w:ind w:firstLine="284"/>
        <w:jc w:val="both"/>
        <w:rPr>
          <w:sz w:val="20"/>
          <w:szCs w:val="20"/>
          <w:lang w:val="uk-UA"/>
        </w:rPr>
      </w:pPr>
      <w:r w:rsidRPr="004E364D">
        <w:rPr>
          <w:sz w:val="20"/>
          <w:szCs w:val="20"/>
          <w:lang w:val="uk-UA"/>
        </w:rPr>
        <w:t xml:space="preserve">Кожен акціонер має право отримати, а </w:t>
      </w:r>
      <w:r w:rsidRPr="004E364D">
        <w:rPr>
          <w:bCs/>
          <w:sz w:val="20"/>
          <w:szCs w:val="20"/>
          <w:lang w:val="uk-UA"/>
        </w:rPr>
        <w:t>Товариство</w:t>
      </w:r>
      <w:r w:rsidRPr="004E364D">
        <w:rPr>
          <w:sz w:val="20"/>
          <w:szCs w:val="20"/>
          <w:lang w:val="uk-UA"/>
        </w:rPr>
        <w:t xml:space="preserve">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річних загальних зборів. Від дати надсилання повідомлення про проведення річних загальних зборів до дати проведення річних загальних зборів </w:t>
      </w:r>
      <w:r w:rsidRPr="004E364D">
        <w:rPr>
          <w:bCs/>
          <w:sz w:val="20"/>
          <w:szCs w:val="20"/>
          <w:lang w:val="uk-UA"/>
        </w:rPr>
        <w:t>Товариство</w:t>
      </w:r>
      <w:r w:rsidRPr="004E364D">
        <w:rPr>
          <w:sz w:val="20"/>
          <w:szCs w:val="20"/>
          <w:lang w:val="uk-UA"/>
        </w:rPr>
        <w:t xml:space="preserve">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r w:rsidRPr="004E364D">
        <w:rPr>
          <w:i/>
          <w:sz w:val="20"/>
          <w:szCs w:val="20"/>
          <w:lang w:val="uk-UA"/>
        </w:rPr>
        <w:t>zbory.at.yapz@gmail.com</w:t>
      </w:r>
      <w:r w:rsidRPr="004E364D">
        <w:rPr>
          <w:sz w:val="20"/>
          <w:szCs w:val="20"/>
          <w:lang w:val="uk-UA"/>
        </w:rPr>
        <w:t xml:space="preserve"> або отримати особисто. </w:t>
      </w:r>
    </w:p>
    <w:p w:rsidR="00F56CF6" w:rsidRPr="004E364D" w:rsidRDefault="00F56CF6" w:rsidP="00F56CF6">
      <w:pPr>
        <w:ind w:firstLine="284"/>
        <w:jc w:val="both"/>
        <w:rPr>
          <w:sz w:val="20"/>
          <w:szCs w:val="20"/>
          <w:lang w:val="uk-UA"/>
        </w:rPr>
      </w:pPr>
      <w:r w:rsidRPr="004E364D">
        <w:rPr>
          <w:sz w:val="20"/>
          <w:szCs w:val="20"/>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4E364D">
        <w:rPr>
          <w:i/>
          <w:sz w:val="20"/>
          <w:szCs w:val="20"/>
          <w:lang w:val="uk-UA"/>
        </w:rPr>
        <w:t>zbory.at.yapz@gmail.com</w:t>
      </w:r>
      <w:r w:rsidRPr="004E364D">
        <w:rPr>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F56CF6" w:rsidRPr="004E364D" w:rsidRDefault="00F56CF6" w:rsidP="00F56CF6">
      <w:pPr>
        <w:ind w:firstLine="284"/>
        <w:jc w:val="both"/>
        <w:rPr>
          <w:sz w:val="20"/>
          <w:szCs w:val="20"/>
          <w:lang w:val="uk-UA"/>
        </w:rPr>
      </w:pPr>
      <w:r w:rsidRPr="004E364D">
        <w:rPr>
          <w:bCs/>
          <w:sz w:val="20"/>
          <w:szCs w:val="20"/>
          <w:lang w:val="uk-UA"/>
        </w:rPr>
        <w:t>Товариство</w:t>
      </w:r>
      <w:r w:rsidRPr="004E364D">
        <w:rPr>
          <w:sz w:val="20"/>
          <w:szCs w:val="20"/>
          <w:lang w:val="uk-UA"/>
        </w:rPr>
        <w:t xml:space="preserve">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w:t>
      </w:r>
      <w:r w:rsidRPr="004E364D">
        <w:rPr>
          <w:i/>
          <w:sz w:val="20"/>
          <w:szCs w:val="20"/>
          <w:lang w:val="uk-UA"/>
        </w:rPr>
        <w:t>zbory.at.yapz@gmail.com</w:t>
      </w:r>
      <w:r w:rsidRPr="004E364D">
        <w:rPr>
          <w:sz w:val="20"/>
          <w:szCs w:val="20"/>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Pr="004E364D">
        <w:rPr>
          <w:bCs/>
          <w:sz w:val="20"/>
          <w:szCs w:val="20"/>
          <w:lang w:val="uk-UA"/>
        </w:rPr>
        <w:t>Товариство</w:t>
      </w:r>
      <w:r w:rsidRPr="004E364D">
        <w:rPr>
          <w:sz w:val="20"/>
          <w:szCs w:val="20"/>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B41D17" w:rsidRPr="004E364D" w:rsidRDefault="00F56CF6" w:rsidP="00F56CF6">
      <w:pPr>
        <w:ind w:firstLine="284"/>
        <w:jc w:val="both"/>
        <w:rPr>
          <w:sz w:val="20"/>
          <w:szCs w:val="20"/>
          <w:lang w:val="uk-UA"/>
        </w:rPr>
      </w:pPr>
      <w:r w:rsidRPr="004E364D">
        <w:rPr>
          <w:sz w:val="20"/>
          <w:szCs w:val="20"/>
          <w:lang w:val="uk-UA"/>
        </w:rPr>
        <w:t xml:space="preserve">Адреса сторінки на власному веб-сайті </w:t>
      </w:r>
      <w:r w:rsidRPr="004E364D">
        <w:rPr>
          <w:bCs/>
          <w:sz w:val="20"/>
          <w:szCs w:val="20"/>
          <w:lang w:val="uk-UA"/>
        </w:rPr>
        <w:t>Товариства</w:t>
      </w:r>
      <w:r w:rsidRPr="004E364D">
        <w:rPr>
          <w:sz w:val="20"/>
          <w:szCs w:val="20"/>
          <w:lang w:val="uk-UA"/>
        </w:rPr>
        <w:t xml:space="preserve">, на якій розміщена інформація з проектом рішень щодо кожного з питань, включених до проекту порядку денного річних загальних зборів,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річних загальних зборів, перелік документів, що має надати акціонер (представник акціонера) для його участі у річних загальних зборах – </w:t>
      </w:r>
      <w:bookmarkStart w:id="2" w:name="n2103"/>
      <w:bookmarkEnd w:id="2"/>
      <w:r w:rsidR="00685B5C" w:rsidRPr="004E364D">
        <w:rPr>
          <w:i/>
          <w:sz w:val="20"/>
          <w:szCs w:val="20"/>
          <w:lang w:val="uk-UA"/>
        </w:rPr>
        <w:fldChar w:fldCharType="begin"/>
      </w:r>
      <w:r w:rsidR="00B41D17" w:rsidRPr="004E364D">
        <w:rPr>
          <w:i/>
          <w:sz w:val="20"/>
          <w:szCs w:val="20"/>
          <w:lang w:val="uk-UA"/>
        </w:rPr>
        <w:instrText xml:space="preserve"> HYPERLINK "http://jampprilad.pat.ua" </w:instrText>
      </w:r>
      <w:r w:rsidR="00685B5C" w:rsidRPr="004E364D">
        <w:rPr>
          <w:i/>
          <w:sz w:val="20"/>
          <w:szCs w:val="20"/>
          <w:lang w:val="uk-UA"/>
        </w:rPr>
        <w:fldChar w:fldCharType="separate"/>
      </w:r>
      <w:r w:rsidR="00B41D17" w:rsidRPr="004E364D">
        <w:rPr>
          <w:rStyle w:val="a5"/>
          <w:i/>
          <w:sz w:val="20"/>
          <w:szCs w:val="20"/>
          <w:lang w:val="uk-UA"/>
        </w:rPr>
        <w:t>http://jampprilad.pat.ua</w:t>
      </w:r>
      <w:r w:rsidR="00685B5C" w:rsidRPr="004E364D">
        <w:rPr>
          <w:i/>
          <w:sz w:val="20"/>
          <w:szCs w:val="20"/>
          <w:lang w:val="uk-UA"/>
        </w:rPr>
        <w:fldChar w:fldCharType="end"/>
      </w:r>
    </w:p>
    <w:p w:rsidR="00B41D17" w:rsidRPr="007E19AD" w:rsidRDefault="00F56CF6" w:rsidP="007E19AD">
      <w:pPr>
        <w:ind w:firstLine="284"/>
        <w:jc w:val="both"/>
        <w:rPr>
          <w:sz w:val="20"/>
          <w:szCs w:val="20"/>
          <w:lang w:val="uk-UA"/>
        </w:rPr>
      </w:pPr>
      <w:r w:rsidRPr="004E364D">
        <w:rPr>
          <w:b/>
          <w:sz w:val="20"/>
          <w:szCs w:val="20"/>
          <w:lang w:val="uk-UA"/>
        </w:rPr>
        <w:t>03 листопада 2022 року</w:t>
      </w:r>
      <w:r w:rsidRPr="004E364D">
        <w:rPr>
          <w:sz w:val="20"/>
          <w:szCs w:val="20"/>
          <w:lang w:val="uk-UA"/>
        </w:rPr>
        <w:t xml:space="preserve"> - дата розміщення бюлетеню для голосування у вільному для акціонерів доступі на власному веб-сайті </w:t>
      </w:r>
      <w:r w:rsidRPr="004E364D">
        <w:rPr>
          <w:bCs/>
          <w:sz w:val="20"/>
          <w:szCs w:val="20"/>
          <w:lang w:val="uk-UA"/>
        </w:rPr>
        <w:t>Товариства</w:t>
      </w:r>
      <w:r w:rsidRPr="004E364D">
        <w:rPr>
          <w:sz w:val="20"/>
          <w:szCs w:val="20"/>
          <w:lang w:val="uk-UA"/>
        </w:rPr>
        <w:t xml:space="preserve"> за посиланням: </w:t>
      </w:r>
      <w:hyperlink r:id="rId5" w:history="1">
        <w:r w:rsidR="007E19AD" w:rsidRPr="004E364D">
          <w:rPr>
            <w:rStyle w:val="a5"/>
            <w:i/>
            <w:sz w:val="20"/>
            <w:szCs w:val="20"/>
            <w:lang w:val="uk-UA"/>
          </w:rPr>
          <w:t>http://jampprilad.pat.ua</w:t>
        </w:r>
      </w:hyperlink>
    </w:p>
    <w:p w:rsidR="00F56CF6" w:rsidRPr="004E364D" w:rsidRDefault="00F56CF6" w:rsidP="00B41D17">
      <w:pPr>
        <w:ind w:firstLine="284"/>
        <w:jc w:val="both"/>
        <w:rPr>
          <w:sz w:val="20"/>
          <w:szCs w:val="20"/>
          <w:shd w:val="clear" w:color="auto" w:fill="FFFFFF"/>
          <w:lang w:val="uk-UA"/>
        </w:rPr>
      </w:pPr>
      <w:r w:rsidRPr="004E364D">
        <w:rPr>
          <w:sz w:val="20"/>
          <w:szCs w:val="20"/>
          <w:shd w:val="clear" w:color="auto" w:fill="FFFFFF"/>
          <w:lang w:val="uk-UA"/>
        </w:rPr>
        <w:t>Бюлетені для голосування на річних загальних зборах приймаються виключно до 18-00 дати завершення голосування</w:t>
      </w:r>
      <w:r w:rsidR="00B41D17" w:rsidRPr="004E364D">
        <w:rPr>
          <w:sz w:val="20"/>
          <w:szCs w:val="20"/>
          <w:shd w:val="clear" w:color="auto" w:fill="FFFFFF"/>
          <w:lang w:val="uk-UA"/>
        </w:rPr>
        <w:t xml:space="preserve"> </w:t>
      </w:r>
      <w:r w:rsidRPr="004E364D">
        <w:rPr>
          <w:b/>
          <w:sz w:val="20"/>
          <w:szCs w:val="20"/>
          <w:lang w:val="uk-UA"/>
        </w:rPr>
        <w:t xml:space="preserve">06 грудня </w:t>
      </w:r>
      <w:r w:rsidRPr="004E364D">
        <w:rPr>
          <w:b/>
          <w:sz w:val="20"/>
          <w:szCs w:val="20"/>
          <w:shd w:val="clear" w:color="auto" w:fill="FFFFFF"/>
          <w:lang w:val="uk-UA"/>
        </w:rPr>
        <w:t>2022 року.</w:t>
      </w:r>
    </w:p>
    <w:p w:rsidR="00F56CF6" w:rsidRPr="004E364D" w:rsidRDefault="00F56CF6" w:rsidP="00F56CF6">
      <w:pPr>
        <w:ind w:firstLine="284"/>
        <w:jc w:val="both"/>
        <w:rPr>
          <w:sz w:val="20"/>
          <w:szCs w:val="20"/>
          <w:lang w:val="uk-UA"/>
        </w:rPr>
      </w:pPr>
      <w:r w:rsidRPr="004E364D">
        <w:rPr>
          <w:sz w:val="20"/>
          <w:szCs w:val="20"/>
          <w:lang w:val="uk-UA"/>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w:t>
      </w:r>
      <w:bookmarkStart w:id="3" w:name="_GoBack"/>
      <w:bookmarkEnd w:id="3"/>
      <w:r w:rsidRPr="004E364D">
        <w:rPr>
          <w:sz w:val="20"/>
          <w:szCs w:val="20"/>
          <w:lang w:val="uk-UA"/>
        </w:rPr>
        <w:t xml:space="preserve">я бюлетенів депозитарній установі, яка обслуговує рахунок в цінних паперах такого акціонера, на якому обліковуються належні акціонеру акції АТ "Ямпільський приладобудівний завод" на дату складення переліку акціонерів, які мають право на участь у річних загальних зборах. </w:t>
      </w:r>
    </w:p>
    <w:p w:rsidR="00F56CF6" w:rsidRPr="004E364D" w:rsidRDefault="00F56CF6" w:rsidP="00F56CF6">
      <w:pPr>
        <w:ind w:firstLine="284"/>
        <w:jc w:val="both"/>
        <w:rPr>
          <w:sz w:val="20"/>
          <w:szCs w:val="20"/>
          <w:lang w:val="uk-UA"/>
        </w:rPr>
      </w:pPr>
      <w:r w:rsidRPr="004E364D">
        <w:rPr>
          <w:sz w:val="20"/>
          <w:szCs w:val="20"/>
          <w:lang w:val="uk-UA"/>
        </w:rPr>
        <w:t>Голосування на річних загальних зборах з питань порядку денного проводиться виключно з використанням бюлетеню для голосування.</w:t>
      </w:r>
    </w:p>
    <w:p w:rsidR="00F56CF6" w:rsidRPr="004E364D" w:rsidRDefault="00F56CF6" w:rsidP="00F56CF6">
      <w:pPr>
        <w:ind w:firstLine="284"/>
        <w:jc w:val="both"/>
        <w:rPr>
          <w:sz w:val="20"/>
          <w:szCs w:val="20"/>
          <w:lang w:val="uk-UA"/>
        </w:rPr>
      </w:pPr>
      <w:r w:rsidRPr="004E364D">
        <w:rPr>
          <w:sz w:val="20"/>
          <w:szCs w:val="20"/>
          <w:lang w:val="uk-UA"/>
        </w:rPr>
        <w:t xml:space="preserve">У разі, якщо акціонер має рахунки в цінних паперах в декількох депозитарних установах, на яких обліковуються акції АТ "Ямпільський приладобудівний завод", кожна із депозитарних установ приймає бюлетень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F56CF6" w:rsidRPr="004E364D" w:rsidRDefault="00F56CF6" w:rsidP="00F56CF6">
      <w:pPr>
        <w:ind w:firstLine="284"/>
        <w:jc w:val="both"/>
        <w:rPr>
          <w:sz w:val="20"/>
          <w:szCs w:val="20"/>
          <w:lang w:val="uk-UA"/>
        </w:rPr>
      </w:pPr>
      <w:r w:rsidRPr="004E364D">
        <w:rPr>
          <w:sz w:val="20"/>
          <w:szCs w:val="20"/>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F56CF6" w:rsidRPr="004E364D" w:rsidRDefault="00F56CF6" w:rsidP="00F56CF6">
      <w:pPr>
        <w:ind w:firstLine="284"/>
        <w:jc w:val="both"/>
        <w:rPr>
          <w:sz w:val="20"/>
          <w:szCs w:val="20"/>
          <w:lang w:val="uk-UA"/>
        </w:rPr>
      </w:pPr>
      <w:r w:rsidRPr="004E364D">
        <w:rPr>
          <w:sz w:val="20"/>
          <w:szCs w:val="20"/>
          <w:lang w:val="uk-UA"/>
        </w:rPr>
        <w:t xml:space="preserve">Представником акціонера на річних загальних зборах може бути фізична особа або уповноважена особа юридичної особи.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Представником акціонера - фізичної чи юридичної особи на річних загальних зборах може бути інша фізична особа або уповноважена особа юридичної особи.</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Акціонер має право призначити свого представника постійно або на певний строк.</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lastRenderedPageBreak/>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Якщо довіреність не містить завдання щодо голосування, представник вирішує всі питання щодо голосування на загальних зборах на свій розсуд.</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Акціонер має право видати довіреність на право участі та голосування на загальних зборах декільком своїм представникам.</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Надання довіреності на право участі та голосування на річних загальних зборах не виключає право участі на цих загальних зборах акціонера, який видав довіреність, замість свого представника.</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w:t>
      </w:r>
      <w:r w:rsidRPr="004E364D">
        <w:rPr>
          <w:sz w:val="20"/>
          <w:szCs w:val="20"/>
          <w:lang w:val="uk-UA"/>
        </w:rPr>
        <w:t>АТ "Ямпільський приладобудівний завод"</w:t>
      </w:r>
      <w:r w:rsidRPr="004E364D">
        <w:rPr>
          <w:sz w:val="20"/>
          <w:szCs w:val="20"/>
          <w:shd w:val="clear" w:color="auto" w:fill="FFFFFF"/>
          <w:lang w:val="uk-UA"/>
        </w:rPr>
        <w:t>, або взяти участь у загальних зборах особисто.</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загальних зборів – </w:t>
      </w:r>
      <w:r w:rsidRPr="004E364D">
        <w:rPr>
          <w:b/>
          <w:sz w:val="20"/>
          <w:szCs w:val="20"/>
          <w:shd w:val="clear" w:color="auto" w:fill="FFFFFF"/>
          <w:lang w:val="uk-UA"/>
        </w:rPr>
        <w:t>до 18:00 год. 06 грудня 2022 року.</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На річних загальних зборах не може бути оголошено перерву або змінено послідовність розгляду питань порядку денного.</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Pr="004E364D">
        <w:rPr>
          <w:sz w:val="20"/>
          <w:szCs w:val="20"/>
          <w:lang w:val="uk-UA"/>
        </w:rPr>
        <w:t>АТ "Ямпільський приладобудівний завод"</w:t>
      </w:r>
      <w:r w:rsidRPr="004E364D">
        <w:rPr>
          <w:sz w:val="20"/>
          <w:szCs w:val="20"/>
          <w:shd w:val="clear" w:color="auto" w:fill="FFFFFF"/>
          <w:lang w:val="uk-UA"/>
        </w:rPr>
        <w:t>, лише один бюлетень для голосування з одних і тих самих питань порядку денного. 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Бюлетень, що був отриманий депозитарною установою після завершення часу, відведеного на голосування, вважається таким, що не поданий.</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Pr="004E364D">
        <w:rPr>
          <w:sz w:val="20"/>
          <w:szCs w:val="20"/>
          <w:lang w:val="uk-UA"/>
        </w:rPr>
        <w:t>АТ "Ямпільський приладобудівний завод"</w:t>
      </w:r>
      <w:r w:rsidRPr="004E364D">
        <w:rPr>
          <w:sz w:val="20"/>
          <w:szCs w:val="20"/>
          <w:shd w:val="clear" w:color="auto" w:fill="FFFFFF"/>
          <w:lang w:val="uk-UA"/>
        </w:rPr>
        <w:t xml:space="preserve">. </w:t>
      </w:r>
    </w:p>
    <w:p w:rsidR="00F56CF6" w:rsidRPr="004E364D" w:rsidRDefault="00F56CF6" w:rsidP="00F56CF6">
      <w:pPr>
        <w:tabs>
          <w:tab w:val="left" w:pos="426"/>
        </w:tabs>
        <w:autoSpaceDE w:val="0"/>
        <w:jc w:val="both"/>
        <w:rPr>
          <w:b/>
          <w:bCs/>
          <w:sz w:val="20"/>
          <w:szCs w:val="20"/>
          <w:u w:val="single"/>
          <w:shd w:val="clear" w:color="auto" w:fill="FFFFFF"/>
          <w:lang w:val="uk-UA"/>
        </w:rPr>
      </w:pPr>
      <w:r w:rsidRPr="004E364D">
        <w:rPr>
          <w:b/>
          <w:bCs/>
          <w:sz w:val="20"/>
          <w:szCs w:val="20"/>
          <w:u w:val="single"/>
          <w:shd w:val="clear" w:color="auto" w:fill="FFFFFF"/>
          <w:lang w:val="uk-UA"/>
        </w:rPr>
        <w:tab/>
        <w:t xml:space="preserve">Бюлетень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АТ "Ямпільський приладобудівний завод" за умови підписання бюлетеня в присутності уповноваженої особи депозитарної установи. </w:t>
      </w:r>
    </w:p>
    <w:p w:rsidR="00F56CF6" w:rsidRPr="004E364D" w:rsidRDefault="00F56CF6" w:rsidP="00F56CF6">
      <w:pPr>
        <w:autoSpaceDE w:val="0"/>
        <w:ind w:firstLine="284"/>
        <w:jc w:val="both"/>
        <w:rPr>
          <w:sz w:val="20"/>
          <w:szCs w:val="20"/>
          <w:shd w:val="clear" w:color="auto" w:fill="FFFFFF"/>
          <w:lang w:val="uk-UA"/>
        </w:rPr>
      </w:pPr>
      <w:r w:rsidRPr="004E364D">
        <w:rPr>
          <w:b/>
          <w:bCs/>
          <w:sz w:val="20"/>
          <w:szCs w:val="20"/>
          <w:u w:val="single"/>
          <w:shd w:val="clear" w:color="auto" w:fill="FFFFFF"/>
          <w:lang w:val="uk-UA"/>
        </w:rPr>
        <w:t>Заповнений та засвідчений (підписаний) бюлетень має бути надісланий (доставлений) до 18 години дня проведення річних загальних зборів на адресу депозитарної установи: ТОВ «Бюро інвестиційних технологій» -</w:t>
      </w:r>
      <w:hyperlink r:id="rId6" w:history="1">
        <w:r w:rsidRPr="004E364D">
          <w:rPr>
            <w:rStyle w:val="a5"/>
            <w:b/>
            <w:bCs/>
            <w:sz w:val="20"/>
            <w:szCs w:val="20"/>
            <w:shd w:val="clear" w:color="auto" w:fill="FFFFFF"/>
            <w:lang w:val="uk-UA"/>
          </w:rPr>
          <w:t>urb2006@ukr.net</w:t>
        </w:r>
      </w:hyperlink>
      <w:r w:rsidRPr="004E364D">
        <w:rPr>
          <w:b/>
          <w:bCs/>
          <w:sz w:val="20"/>
          <w:szCs w:val="20"/>
          <w:u w:val="single"/>
          <w:lang w:val="uk-UA"/>
        </w:rPr>
        <w:t>, м. Київ, вул. Генерала Алмазова 18/7, тел. (044) 3695091</w:t>
      </w:r>
      <w:r w:rsidRPr="004E364D">
        <w:rPr>
          <w:bCs/>
          <w:sz w:val="20"/>
          <w:szCs w:val="20"/>
          <w:u w:val="single"/>
          <w:lang w:val="uk-UA"/>
        </w:rPr>
        <w:t>.</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Бюлетень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w:t>
      </w:r>
      <w:r w:rsidRPr="004E364D">
        <w:rPr>
          <w:sz w:val="20"/>
          <w:szCs w:val="20"/>
          <w:lang w:val="uk-UA"/>
        </w:rPr>
        <w:t>АТ "Ямпільський приладобудівний завод"</w:t>
      </w:r>
      <w:r w:rsidRPr="004E364D">
        <w:rPr>
          <w:sz w:val="20"/>
          <w:szCs w:val="20"/>
          <w:shd w:val="clear" w:color="auto" w:fill="FFFFFF"/>
          <w:lang w:val="uk-UA"/>
        </w:rPr>
        <w:t xml:space="preserve">, за умови підписання бюлетеня в присутності уповноваженої особи депозитарної установи. </w:t>
      </w:r>
    </w:p>
    <w:p w:rsidR="00F56CF6" w:rsidRPr="004E364D" w:rsidRDefault="00F56CF6" w:rsidP="00F56CF6">
      <w:pPr>
        <w:autoSpaceDE w:val="0"/>
        <w:ind w:firstLine="284"/>
        <w:jc w:val="both"/>
        <w:rPr>
          <w:sz w:val="20"/>
          <w:szCs w:val="20"/>
          <w:shd w:val="clear" w:color="auto" w:fill="FFFFFF"/>
          <w:lang w:val="uk-UA"/>
        </w:rPr>
      </w:pPr>
      <w:r w:rsidRPr="004E364D">
        <w:rPr>
          <w:bCs/>
          <w:sz w:val="20"/>
          <w:szCs w:val="20"/>
          <w:lang w:val="uk-UA"/>
        </w:rPr>
        <w:t>Товариство</w:t>
      </w:r>
      <w:r w:rsidRPr="004E364D">
        <w:rPr>
          <w:sz w:val="20"/>
          <w:szCs w:val="20"/>
          <w:shd w:val="clear" w:color="auto" w:fill="FFFFFF"/>
          <w:lang w:val="uk-UA"/>
        </w:rPr>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 xml:space="preserve">Реєстрація учасників річних загальних зборів Товариства буде здійснюватися реєстраційною комісією </w:t>
      </w:r>
      <w:r w:rsidRPr="004E364D">
        <w:rPr>
          <w:bCs/>
          <w:sz w:val="20"/>
          <w:szCs w:val="20"/>
          <w:lang w:val="uk-UA"/>
        </w:rPr>
        <w:t>Товариства</w:t>
      </w:r>
      <w:r w:rsidRPr="004E364D">
        <w:rPr>
          <w:sz w:val="20"/>
          <w:szCs w:val="20"/>
          <w:shd w:val="clear" w:color="auto" w:fill="FFFFFF"/>
          <w:lang w:val="uk-UA"/>
        </w:rPr>
        <w:t xml:space="preserve"> на підставі документів, отриманих від Центрального депозитарію відповідно до Розділу XIV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16 квітня 2020 року № 196 (із змінами і доповненням) (надалі – "Порядок"). Загальні збори Товариства 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t>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F56CF6" w:rsidRPr="004E364D" w:rsidRDefault="00F56CF6" w:rsidP="00F56CF6">
      <w:pPr>
        <w:autoSpaceDE w:val="0"/>
        <w:ind w:firstLine="284"/>
        <w:jc w:val="both"/>
        <w:rPr>
          <w:sz w:val="20"/>
          <w:szCs w:val="20"/>
          <w:shd w:val="clear" w:color="auto" w:fill="FFFFFF"/>
          <w:lang w:val="uk-UA"/>
        </w:rPr>
      </w:pPr>
      <w:r w:rsidRPr="004E364D">
        <w:rPr>
          <w:sz w:val="20"/>
          <w:szCs w:val="20"/>
          <w:shd w:val="clear" w:color="auto" w:fill="FFFFFF"/>
          <w:lang w:val="uk-UA"/>
        </w:rPr>
        <w:lastRenderedPageBreak/>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F56CF6" w:rsidRPr="004E364D" w:rsidRDefault="00F56CF6" w:rsidP="00F56CF6">
      <w:pPr>
        <w:numPr>
          <w:ilvl w:val="2"/>
          <w:numId w:val="6"/>
        </w:numPr>
        <w:tabs>
          <w:tab w:val="left" w:pos="426"/>
        </w:tabs>
        <w:autoSpaceDE w:val="0"/>
        <w:ind w:left="426"/>
        <w:jc w:val="both"/>
        <w:rPr>
          <w:sz w:val="20"/>
          <w:szCs w:val="20"/>
          <w:shd w:val="clear" w:color="auto" w:fill="FFFFFF"/>
          <w:lang w:val="uk-UA"/>
        </w:rPr>
      </w:pPr>
      <w:r w:rsidRPr="004E364D">
        <w:rPr>
          <w:sz w:val="20"/>
          <w:szCs w:val="20"/>
          <w:shd w:val="clear" w:color="auto" w:fill="FFFFFF"/>
          <w:lang w:val="uk-UA"/>
        </w:rPr>
        <w:t>ознайомитися з документами, необхідними для прийняття рішень з питань порядку денного (від дати надіслання повідомлення про проведення загальних зборів до дати проведення загальних зборів);</w:t>
      </w:r>
    </w:p>
    <w:p w:rsidR="00F56CF6" w:rsidRPr="004E364D" w:rsidRDefault="00F56CF6" w:rsidP="00F56CF6">
      <w:pPr>
        <w:numPr>
          <w:ilvl w:val="2"/>
          <w:numId w:val="6"/>
        </w:numPr>
        <w:tabs>
          <w:tab w:val="left" w:pos="426"/>
        </w:tabs>
        <w:autoSpaceDE w:val="0"/>
        <w:ind w:left="426"/>
        <w:jc w:val="both"/>
        <w:rPr>
          <w:sz w:val="20"/>
          <w:szCs w:val="20"/>
          <w:shd w:val="clear" w:color="auto" w:fill="FFFFFF"/>
          <w:lang w:val="uk-UA"/>
        </w:rPr>
      </w:pPr>
      <w:r w:rsidRPr="004E364D">
        <w:rPr>
          <w:sz w:val="20"/>
          <w:szCs w:val="20"/>
          <w:shd w:val="clear" w:color="auto" w:fill="FFFFFF"/>
          <w:lang w:val="uk-UA"/>
        </w:rPr>
        <w:t>до дати проведення загальних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F56CF6" w:rsidRPr="004E364D" w:rsidRDefault="00F56CF6" w:rsidP="00F56CF6">
      <w:pPr>
        <w:numPr>
          <w:ilvl w:val="2"/>
          <w:numId w:val="6"/>
        </w:numPr>
        <w:tabs>
          <w:tab w:val="left" w:pos="426"/>
        </w:tabs>
        <w:autoSpaceDE w:val="0"/>
        <w:ind w:left="426"/>
        <w:jc w:val="both"/>
        <w:rPr>
          <w:sz w:val="20"/>
          <w:szCs w:val="20"/>
          <w:shd w:val="clear" w:color="auto" w:fill="FFFFFF"/>
          <w:lang w:val="uk-UA"/>
        </w:rPr>
      </w:pPr>
      <w:r w:rsidRPr="004E364D">
        <w:rPr>
          <w:sz w:val="20"/>
          <w:szCs w:val="20"/>
          <w:shd w:val="clear" w:color="auto" w:fill="FFFFFF"/>
          <w:lang w:val="uk-UA"/>
        </w:rPr>
        <w:t xml:space="preserve">внести пропозиції щодо питань, включених до проекту порядку денного загальних зборів та їх проектів рішень. Пропозиції вносяться не пізніше ніж за 20 днів до дати проведення загальних зборів.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7" w:history="1">
        <w:r w:rsidRPr="004E364D">
          <w:rPr>
            <w:i/>
            <w:sz w:val="20"/>
            <w:szCs w:val="20"/>
            <w:lang w:val="uk-UA"/>
          </w:rPr>
          <w:t xml:space="preserve"> zbory.at.yapz</w:t>
        </w:r>
        <w:r w:rsidRPr="004E364D">
          <w:rPr>
            <w:i/>
            <w:sz w:val="20"/>
            <w:szCs w:val="20"/>
            <w:shd w:val="clear" w:color="auto" w:fill="FFFFFF"/>
            <w:lang w:val="uk-UA"/>
          </w:rPr>
          <w:t>@gmail.com</w:t>
        </w:r>
      </w:hyperlink>
      <w:r w:rsidRPr="004E364D">
        <w:rPr>
          <w:sz w:val="20"/>
          <w:szCs w:val="20"/>
          <w:shd w:val="clear" w:color="auto" w:fill="FFFFFF"/>
          <w:lang w:val="uk-UA"/>
        </w:rPr>
        <w:t>.</w:t>
      </w:r>
    </w:p>
    <w:p w:rsidR="00F56CF6" w:rsidRPr="004E364D" w:rsidRDefault="00F56CF6" w:rsidP="00F56CF6">
      <w:pPr>
        <w:tabs>
          <w:tab w:val="left" w:pos="426"/>
        </w:tabs>
        <w:autoSpaceDE w:val="0"/>
        <w:ind w:left="66"/>
        <w:jc w:val="both"/>
        <w:rPr>
          <w:sz w:val="20"/>
          <w:szCs w:val="20"/>
          <w:lang w:val="uk-UA"/>
        </w:rPr>
      </w:pPr>
      <w:r w:rsidRPr="004E364D">
        <w:rPr>
          <w:sz w:val="20"/>
          <w:szCs w:val="20"/>
          <w:lang w:val="uk-UA"/>
        </w:rPr>
        <w:t>Станом на 24.10.2022 р. (дата складання переліку осіб, яким надсилається повідомлення про проведення загальних зборів) загальна кількість акцій становить 211 001 шт., загальна кількість голосуючих акцій – 171 3</w:t>
      </w:r>
      <w:r w:rsidR="00E73FD6" w:rsidRPr="004E364D">
        <w:rPr>
          <w:sz w:val="20"/>
          <w:szCs w:val="20"/>
          <w:lang w:val="uk-UA"/>
        </w:rPr>
        <w:t>8</w:t>
      </w:r>
      <w:r w:rsidRPr="004E364D">
        <w:rPr>
          <w:sz w:val="20"/>
          <w:szCs w:val="20"/>
          <w:lang w:val="uk-UA"/>
        </w:rPr>
        <w:t>5 шт.</w:t>
      </w:r>
    </w:p>
    <w:p w:rsidR="00F56CF6" w:rsidRPr="004E364D" w:rsidRDefault="00F56CF6" w:rsidP="00F56CF6">
      <w:pPr>
        <w:jc w:val="center"/>
        <w:rPr>
          <w:sz w:val="20"/>
          <w:szCs w:val="20"/>
          <w:lang w:val="uk-UA"/>
        </w:rPr>
      </w:pPr>
    </w:p>
    <w:p w:rsidR="00F56CF6" w:rsidRPr="004E364D" w:rsidRDefault="00F56CF6" w:rsidP="00F56CF6">
      <w:pPr>
        <w:jc w:val="center"/>
        <w:rPr>
          <w:sz w:val="20"/>
          <w:szCs w:val="20"/>
          <w:lang w:val="uk-UA"/>
        </w:rPr>
      </w:pPr>
      <w:r w:rsidRPr="004E364D">
        <w:rPr>
          <w:sz w:val="20"/>
          <w:szCs w:val="20"/>
          <w:lang w:val="uk-UA"/>
        </w:rPr>
        <w:t>Основні показники фінансово-господарської діяльності Товариства (тис. грн.).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985"/>
        <w:gridCol w:w="1701"/>
      </w:tblGrid>
      <w:tr w:rsidR="00F56CF6" w:rsidRPr="004E364D" w:rsidTr="00F56CF6">
        <w:tc>
          <w:tcPr>
            <w:tcW w:w="6804" w:type="dxa"/>
            <w:vMerge w:val="restart"/>
            <w:tcBorders>
              <w:top w:val="single" w:sz="4" w:space="0" w:color="auto"/>
              <w:left w:val="single" w:sz="4" w:space="0" w:color="auto"/>
              <w:bottom w:val="single" w:sz="4" w:space="0" w:color="auto"/>
              <w:right w:val="single" w:sz="4" w:space="0" w:color="auto"/>
            </w:tcBorders>
            <w:vAlign w:val="center"/>
          </w:tcPr>
          <w:p w:rsidR="00F56CF6" w:rsidRPr="004E364D" w:rsidRDefault="00F56CF6" w:rsidP="00636C97">
            <w:pPr>
              <w:jc w:val="center"/>
              <w:rPr>
                <w:sz w:val="20"/>
                <w:szCs w:val="20"/>
                <w:lang w:val="uk-UA"/>
              </w:rPr>
            </w:pPr>
            <w:r w:rsidRPr="004E364D">
              <w:rPr>
                <w:sz w:val="20"/>
                <w:szCs w:val="20"/>
                <w:lang w:val="uk-UA"/>
              </w:rPr>
              <w:t>Найменування показника</w:t>
            </w:r>
          </w:p>
        </w:tc>
        <w:tc>
          <w:tcPr>
            <w:tcW w:w="3686" w:type="dxa"/>
            <w:gridSpan w:val="2"/>
            <w:tcBorders>
              <w:top w:val="single" w:sz="4" w:space="0" w:color="auto"/>
              <w:left w:val="single" w:sz="4" w:space="0" w:color="auto"/>
              <w:bottom w:val="single" w:sz="4" w:space="0" w:color="auto"/>
              <w:right w:val="single" w:sz="4" w:space="0" w:color="auto"/>
            </w:tcBorders>
          </w:tcPr>
          <w:p w:rsidR="00F56CF6" w:rsidRPr="004E364D" w:rsidRDefault="00F56CF6" w:rsidP="00636C97">
            <w:pPr>
              <w:jc w:val="center"/>
              <w:rPr>
                <w:sz w:val="20"/>
                <w:szCs w:val="20"/>
                <w:lang w:val="uk-UA"/>
              </w:rPr>
            </w:pPr>
            <w:r w:rsidRPr="004E364D">
              <w:rPr>
                <w:sz w:val="20"/>
                <w:szCs w:val="20"/>
                <w:lang w:val="uk-UA"/>
              </w:rPr>
              <w:t>період</w:t>
            </w:r>
          </w:p>
        </w:tc>
      </w:tr>
      <w:tr w:rsidR="00F56CF6" w:rsidRPr="004E364D" w:rsidTr="00F56CF6">
        <w:tc>
          <w:tcPr>
            <w:tcW w:w="6804" w:type="dxa"/>
            <w:vMerge/>
            <w:tcBorders>
              <w:top w:val="single" w:sz="4" w:space="0" w:color="auto"/>
              <w:left w:val="single" w:sz="4" w:space="0" w:color="auto"/>
              <w:bottom w:val="single" w:sz="4" w:space="0" w:color="auto"/>
              <w:right w:val="single" w:sz="4" w:space="0" w:color="auto"/>
            </w:tcBorders>
            <w:vAlign w:val="center"/>
          </w:tcPr>
          <w:p w:rsidR="00F56CF6" w:rsidRPr="004E364D" w:rsidRDefault="00F56CF6" w:rsidP="00636C97">
            <w:pPr>
              <w:rPr>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jc w:val="center"/>
              <w:rPr>
                <w:sz w:val="20"/>
                <w:szCs w:val="20"/>
                <w:lang w:val="uk-UA"/>
              </w:rPr>
            </w:pPr>
            <w:r w:rsidRPr="004E364D">
              <w:rPr>
                <w:sz w:val="20"/>
                <w:szCs w:val="20"/>
                <w:lang w:val="uk-UA"/>
              </w:rPr>
              <w:t>Звітний</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jc w:val="center"/>
              <w:rPr>
                <w:sz w:val="20"/>
                <w:szCs w:val="20"/>
                <w:lang w:val="uk-UA"/>
              </w:rPr>
            </w:pPr>
            <w:r w:rsidRPr="004E364D">
              <w:rPr>
                <w:sz w:val="20"/>
                <w:szCs w:val="20"/>
                <w:lang w:val="uk-UA"/>
              </w:rPr>
              <w:t>Попередній</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Усього активів</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39443,1</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42024</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Основні засоби (за залишковою вартістю)</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1769</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1843</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Запаси</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12217</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15038</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bookmarkStart w:id="4" w:name="_Hlk113890883"/>
            <w:r w:rsidRPr="004E364D">
              <w:rPr>
                <w:b w:val="0"/>
                <w:sz w:val="20"/>
                <w:szCs w:val="20"/>
                <w:lang w:val="uk-UA"/>
              </w:rPr>
              <w:t>Сумарна дебіторська заборгованість</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13598</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13158</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Гроші та їх еквіваленти</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11830</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11949</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Нерозподілений прибуток (непокритий збиток)</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-952,8</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3212</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Власний капітал</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32514</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34544</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Зареєстрований (пайовий/статутний) капітал</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53</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53</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Довгострокові зобов'язання і забезпечення</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57</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154</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Поточні зобов'язання і забезпечення</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6929</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7273</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Чистий фінансовий результат: прибуток (збиток)</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-952,8</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3212</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Середньорічна кількість акцій (шт.)</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211001</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shd w:val="clear" w:color="auto" w:fill="FFFFFF"/>
              <w:jc w:val="center"/>
              <w:rPr>
                <w:sz w:val="20"/>
                <w:szCs w:val="20"/>
                <w:lang w:val="uk-UA"/>
              </w:rPr>
            </w:pPr>
            <w:r w:rsidRPr="004E364D">
              <w:rPr>
                <w:sz w:val="20"/>
                <w:szCs w:val="20"/>
                <w:lang w:val="uk-UA"/>
              </w:rPr>
              <w:t>211001</w:t>
            </w:r>
          </w:p>
        </w:tc>
      </w:tr>
      <w:tr w:rsidR="00F56CF6" w:rsidRPr="004E364D" w:rsidTr="00F56CF6">
        <w:tc>
          <w:tcPr>
            <w:tcW w:w="6804"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pStyle w:val="a3"/>
              <w:rPr>
                <w:b w:val="0"/>
                <w:sz w:val="20"/>
                <w:szCs w:val="20"/>
                <w:lang w:val="uk-UA"/>
              </w:rPr>
            </w:pPr>
            <w:r w:rsidRPr="004E364D">
              <w:rPr>
                <w:b w:val="0"/>
                <w:sz w:val="20"/>
                <w:szCs w:val="20"/>
                <w:lang w:val="uk-UA"/>
              </w:rPr>
              <w:t>Чистий прибуток (збиток) на одну просту акцію (грн.)</w:t>
            </w:r>
          </w:p>
        </w:tc>
        <w:tc>
          <w:tcPr>
            <w:tcW w:w="1985"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jc w:val="center"/>
              <w:rPr>
                <w:sz w:val="20"/>
                <w:szCs w:val="20"/>
                <w:lang w:val="uk-UA"/>
              </w:rPr>
            </w:pPr>
            <w:r w:rsidRPr="004E364D">
              <w:rPr>
                <w:sz w:val="20"/>
                <w:szCs w:val="20"/>
                <w:lang w:val="uk-UA"/>
              </w:rPr>
              <w:t>-4,51</w:t>
            </w:r>
          </w:p>
        </w:tc>
        <w:tc>
          <w:tcPr>
            <w:tcW w:w="1701" w:type="dxa"/>
            <w:tcBorders>
              <w:top w:val="single" w:sz="4" w:space="0" w:color="auto"/>
              <w:left w:val="single" w:sz="4" w:space="0" w:color="auto"/>
              <w:bottom w:val="single" w:sz="4" w:space="0" w:color="auto"/>
              <w:right w:val="single" w:sz="4" w:space="0" w:color="auto"/>
            </w:tcBorders>
          </w:tcPr>
          <w:p w:rsidR="00F56CF6" w:rsidRPr="004E364D" w:rsidRDefault="00F56CF6" w:rsidP="00636C97">
            <w:pPr>
              <w:jc w:val="center"/>
              <w:rPr>
                <w:sz w:val="20"/>
                <w:szCs w:val="20"/>
                <w:lang w:val="uk-UA"/>
              </w:rPr>
            </w:pPr>
            <w:r w:rsidRPr="004E364D">
              <w:rPr>
                <w:sz w:val="20"/>
                <w:szCs w:val="20"/>
                <w:lang w:val="uk-UA"/>
              </w:rPr>
              <w:t>15,22</w:t>
            </w:r>
          </w:p>
        </w:tc>
      </w:tr>
    </w:tbl>
    <w:bookmarkEnd w:id="4"/>
    <w:p w:rsidR="00744830" w:rsidRPr="004E364D" w:rsidRDefault="00F56CF6" w:rsidP="00F56CF6">
      <w:pPr>
        <w:jc w:val="right"/>
        <w:rPr>
          <w:sz w:val="20"/>
          <w:szCs w:val="20"/>
          <w:lang w:val="uk-UA"/>
        </w:rPr>
      </w:pPr>
      <w:r w:rsidRPr="004E364D">
        <w:rPr>
          <w:sz w:val="20"/>
          <w:szCs w:val="20"/>
          <w:lang w:val="uk-UA"/>
        </w:rPr>
        <w:t>АТ "Ямпільський приладобудівний завод"</w:t>
      </w:r>
    </w:p>
    <w:sectPr w:rsidR="00744830" w:rsidRPr="004E364D" w:rsidSect="00F56CF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127C1"/>
    <w:multiLevelType w:val="hybridMultilevel"/>
    <w:tmpl w:val="BA12C590"/>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A27A9A"/>
    <w:multiLevelType w:val="hybridMultilevel"/>
    <w:tmpl w:val="FD1A6F90"/>
    <w:lvl w:ilvl="0" w:tplc="391C672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391C6728">
      <w:start w:val="1"/>
      <w:numFmt w:val="bullet"/>
      <w:lvlText w:val="−"/>
      <w:lvlJc w:val="left"/>
      <w:pPr>
        <w:ind w:left="2444" w:hanging="360"/>
      </w:pPr>
      <w:rPr>
        <w:rFonts w:ascii="Times New Roman" w:hAnsi="Times New Roman" w:cs="Times New Roman"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9773F5E"/>
    <w:multiLevelType w:val="hybridMultilevel"/>
    <w:tmpl w:val="4C46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EF7429"/>
    <w:multiLevelType w:val="hybridMultilevel"/>
    <w:tmpl w:val="54860E92"/>
    <w:lvl w:ilvl="0" w:tplc="48B224EC">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C411F61"/>
    <w:multiLevelType w:val="hybridMultilevel"/>
    <w:tmpl w:val="0D4C57F0"/>
    <w:lvl w:ilvl="0" w:tplc="48B224EC">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0A84E29"/>
    <w:multiLevelType w:val="hybridMultilevel"/>
    <w:tmpl w:val="E440E8F4"/>
    <w:lvl w:ilvl="0" w:tplc="9612B8DC">
      <w:start w:val="1"/>
      <w:numFmt w:val="decimal"/>
      <w:lvlText w:val="%1)"/>
      <w:lvlJc w:val="left"/>
      <w:pPr>
        <w:ind w:left="720" w:hanging="360"/>
      </w:pPr>
      <w:rPr>
        <w:rFonts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6CF6"/>
    <w:rsid w:val="004E364D"/>
    <w:rsid w:val="00685B5C"/>
    <w:rsid w:val="00744830"/>
    <w:rsid w:val="007E19AD"/>
    <w:rsid w:val="00B41D17"/>
    <w:rsid w:val="00E73FD6"/>
    <w:rsid w:val="00F5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20C7"/>
  <w15:docId w15:val="{25D8DF89-F6D6-43EE-B740-96C465C5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CF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CF6"/>
    <w:rPr>
      <w:b/>
      <w:bCs/>
      <w:sz w:val="28"/>
      <w:lang w:val="ru-RU"/>
    </w:rPr>
  </w:style>
  <w:style w:type="character" w:customStyle="1" w:styleId="a4">
    <w:name w:val="Основний текст Знак"/>
    <w:basedOn w:val="a0"/>
    <w:link w:val="a3"/>
    <w:rsid w:val="00F56CF6"/>
    <w:rPr>
      <w:rFonts w:ascii="Times New Roman" w:eastAsia="Times New Roman" w:hAnsi="Times New Roman" w:cs="Times New Roman"/>
      <w:b/>
      <w:bCs/>
      <w:sz w:val="28"/>
      <w:szCs w:val="24"/>
    </w:rPr>
  </w:style>
  <w:style w:type="character" w:styleId="a5">
    <w:name w:val="Hyperlink"/>
    <w:uiPriority w:val="99"/>
    <w:unhideWhenUsed/>
    <w:rsid w:val="00F5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ys.gervazy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b2006@ukr.net" TargetMode="External"/><Relationship Id="rId5" Type="http://schemas.openxmlformats.org/officeDocument/2006/relationships/hyperlink" Target="http://jampprilad.pat.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3557</Words>
  <Characters>20281</Characters>
  <Application>Microsoft Office Word</Application>
  <DocSecurity>0</DocSecurity>
  <Lines>169</Lines>
  <Paragraphs>47</Paragraphs>
  <ScaleCrop>false</ScaleCrop>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5</cp:revision>
  <dcterms:created xsi:type="dcterms:W3CDTF">2022-11-03T08:03:00Z</dcterms:created>
  <dcterms:modified xsi:type="dcterms:W3CDTF">2022-11-03T12:10:00Z</dcterms:modified>
</cp:coreProperties>
</file>